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5652B" w14:textId="047B0483" w:rsidR="00605D16" w:rsidRPr="00DA7242" w:rsidRDefault="00605D16">
      <w:pPr>
        <w:jc w:val="center"/>
        <w:rPr>
          <w:rFonts w:ascii="Arial" w:hAnsi="Arial" w:cs="Arial"/>
          <w:b/>
          <w:sz w:val="20"/>
          <w:szCs w:val="20"/>
        </w:rPr>
      </w:pPr>
      <w:r w:rsidRPr="00DA7242">
        <w:rPr>
          <w:rFonts w:ascii="Arial" w:hAnsi="Arial" w:cs="Arial"/>
          <w:b/>
          <w:sz w:val="20"/>
          <w:szCs w:val="20"/>
        </w:rPr>
        <w:t xml:space="preserve">Reporting </w:t>
      </w:r>
      <w:r w:rsidR="00EA1E95" w:rsidRPr="00DA7242">
        <w:rPr>
          <w:rFonts w:ascii="Arial" w:hAnsi="Arial" w:cs="Arial"/>
          <w:b/>
          <w:sz w:val="20"/>
          <w:szCs w:val="20"/>
        </w:rPr>
        <w:t xml:space="preserve">Instructions </w:t>
      </w:r>
      <w:r w:rsidRPr="00DA7242">
        <w:rPr>
          <w:rFonts w:ascii="Arial" w:hAnsi="Arial" w:cs="Arial"/>
          <w:b/>
          <w:sz w:val="20"/>
          <w:szCs w:val="20"/>
        </w:rPr>
        <w:t xml:space="preserve">for the </w:t>
      </w:r>
      <w:r w:rsidR="00383BDC" w:rsidRPr="00DA7242">
        <w:rPr>
          <w:rFonts w:ascii="Arial" w:hAnsi="Arial" w:cs="Arial"/>
          <w:b/>
          <w:sz w:val="20"/>
          <w:szCs w:val="20"/>
        </w:rPr>
        <w:t>COVID-19</w:t>
      </w:r>
      <w:r w:rsidRPr="00DA7242">
        <w:rPr>
          <w:rFonts w:ascii="Arial" w:hAnsi="Arial" w:cs="Arial"/>
          <w:b/>
          <w:sz w:val="20"/>
          <w:szCs w:val="20"/>
        </w:rPr>
        <w:t xml:space="preserve"> </w:t>
      </w:r>
      <w:r w:rsidR="00103261" w:rsidRPr="00DA7242">
        <w:rPr>
          <w:rFonts w:ascii="Arial" w:hAnsi="Arial" w:cs="Arial"/>
          <w:b/>
          <w:sz w:val="20"/>
          <w:szCs w:val="20"/>
        </w:rPr>
        <w:t xml:space="preserve">reporting </w:t>
      </w:r>
      <w:r w:rsidRPr="00DA7242">
        <w:rPr>
          <w:rFonts w:ascii="Arial" w:hAnsi="Arial" w:cs="Arial"/>
          <w:b/>
          <w:sz w:val="20"/>
          <w:szCs w:val="20"/>
        </w:rPr>
        <w:t>templates</w:t>
      </w:r>
    </w:p>
    <w:p w14:paraId="1DD6EB01" w14:textId="77777777" w:rsidR="00AB4424" w:rsidRPr="00DA7242" w:rsidRDefault="00AB4424" w:rsidP="00103261">
      <w:pPr>
        <w:jc w:val="center"/>
        <w:rPr>
          <w:rFonts w:ascii="Arial" w:hAnsi="Arial" w:cs="Arial"/>
          <w:b/>
          <w:sz w:val="20"/>
          <w:szCs w:val="20"/>
        </w:rPr>
      </w:pPr>
      <w:r w:rsidRPr="00DA7242">
        <w:rPr>
          <w:rFonts w:ascii="Arial" w:hAnsi="Arial" w:cs="Arial"/>
          <w:b/>
          <w:sz w:val="20"/>
          <w:szCs w:val="20"/>
        </w:rPr>
        <w:t>Part I: General Instructions</w:t>
      </w:r>
    </w:p>
    <w:p w14:paraId="59024AAC" w14:textId="3B5A3E41" w:rsidR="00103261" w:rsidRPr="00DA7242" w:rsidRDefault="00103261" w:rsidP="00103261">
      <w:pPr>
        <w:jc w:val="center"/>
        <w:rPr>
          <w:rFonts w:ascii="Arial" w:hAnsi="Arial" w:cs="Arial"/>
          <w:b/>
          <w:sz w:val="20"/>
          <w:szCs w:val="20"/>
        </w:rPr>
      </w:pPr>
      <w:r w:rsidRPr="00DA7242">
        <w:rPr>
          <w:rFonts w:ascii="Arial" w:hAnsi="Arial" w:cs="Arial"/>
          <w:b/>
          <w:sz w:val="20"/>
          <w:szCs w:val="20"/>
        </w:rPr>
        <w:t>Reporting populatio</w:t>
      </w:r>
      <w:r w:rsidR="00053852" w:rsidRPr="00DA7242">
        <w:rPr>
          <w:rFonts w:ascii="Arial" w:hAnsi="Arial" w:cs="Arial"/>
          <w:b/>
          <w:sz w:val="20"/>
          <w:szCs w:val="20"/>
        </w:rPr>
        <w:t>n</w:t>
      </w:r>
    </w:p>
    <w:p w14:paraId="47F782FF" w14:textId="05DA55EB" w:rsidR="001A2877" w:rsidRPr="00DA7242" w:rsidRDefault="001A2877" w:rsidP="00AE53E2">
      <w:pPr>
        <w:jc w:val="both"/>
        <w:rPr>
          <w:rFonts w:ascii="Arial" w:hAnsi="Arial" w:cs="Arial"/>
          <w:sz w:val="20"/>
          <w:szCs w:val="20"/>
        </w:rPr>
      </w:pPr>
      <w:r w:rsidRPr="00DA7242">
        <w:rPr>
          <w:rFonts w:ascii="Arial" w:hAnsi="Arial" w:cs="Arial"/>
          <w:sz w:val="20"/>
          <w:szCs w:val="20"/>
        </w:rPr>
        <w:t xml:space="preserve">The </w:t>
      </w:r>
      <w:r w:rsidR="00383BDC" w:rsidRPr="00DA7242">
        <w:rPr>
          <w:rFonts w:ascii="Arial" w:hAnsi="Arial" w:cs="Arial"/>
          <w:sz w:val="20"/>
          <w:szCs w:val="20"/>
        </w:rPr>
        <w:t>COVID-19</w:t>
      </w:r>
      <w:r w:rsidRPr="00DA7242">
        <w:rPr>
          <w:rFonts w:ascii="Arial" w:hAnsi="Arial" w:cs="Arial"/>
          <w:sz w:val="20"/>
          <w:szCs w:val="20"/>
        </w:rPr>
        <w:t xml:space="preserve"> r</w:t>
      </w:r>
      <w:r w:rsidR="00103261" w:rsidRPr="00DA7242">
        <w:rPr>
          <w:rFonts w:ascii="Arial" w:hAnsi="Arial" w:cs="Arial"/>
          <w:sz w:val="20"/>
          <w:szCs w:val="20"/>
        </w:rPr>
        <w:t xml:space="preserve">eporting </w:t>
      </w:r>
      <w:r w:rsidR="00E86D6B" w:rsidRPr="00DA7242">
        <w:rPr>
          <w:rFonts w:ascii="Arial" w:hAnsi="Arial" w:cs="Arial"/>
          <w:sz w:val="20"/>
          <w:szCs w:val="20"/>
        </w:rPr>
        <w:t xml:space="preserve">is expected </w:t>
      </w:r>
      <w:r w:rsidRPr="00DA7242">
        <w:rPr>
          <w:rFonts w:ascii="Arial" w:hAnsi="Arial" w:cs="Arial"/>
          <w:sz w:val="20"/>
          <w:szCs w:val="20"/>
        </w:rPr>
        <w:t>to be submitted by</w:t>
      </w:r>
      <w:r w:rsidR="00103261" w:rsidRPr="00DA7242">
        <w:rPr>
          <w:rFonts w:ascii="Arial" w:hAnsi="Arial" w:cs="Arial"/>
          <w:sz w:val="20"/>
          <w:szCs w:val="20"/>
        </w:rPr>
        <w:t xml:space="preserve"> all Significant Institutions at the highest level of consolidation</w:t>
      </w:r>
      <w:r w:rsidRPr="00DA7242">
        <w:rPr>
          <w:rFonts w:ascii="Arial" w:hAnsi="Arial" w:cs="Arial"/>
          <w:sz w:val="20"/>
          <w:szCs w:val="20"/>
        </w:rPr>
        <w:t xml:space="preserve">. </w:t>
      </w:r>
      <w:r w:rsidR="00132A6A" w:rsidRPr="00DA7242">
        <w:rPr>
          <w:rFonts w:ascii="Arial" w:hAnsi="Arial" w:cs="Arial"/>
          <w:sz w:val="20"/>
          <w:szCs w:val="20"/>
        </w:rPr>
        <w:t xml:space="preserve">In addition, </w:t>
      </w:r>
      <w:r w:rsidR="00997A87">
        <w:rPr>
          <w:rFonts w:ascii="Arial" w:hAnsi="Arial" w:cs="Arial"/>
          <w:sz w:val="20"/>
          <w:szCs w:val="20"/>
        </w:rPr>
        <w:t xml:space="preserve">selected </w:t>
      </w:r>
      <w:r w:rsidR="007006E8" w:rsidRPr="00DA7242">
        <w:rPr>
          <w:rFonts w:ascii="Arial" w:hAnsi="Arial" w:cs="Arial"/>
          <w:sz w:val="20"/>
          <w:szCs w:val="20"/>
        </w:rPr>
        <w:t>Targeted</w:t>
      </w:r>
      <w:r w:rsidR="00132A6A" w:rsidRPr="00DA7242">
        <w:rPr>
          <w:rFonts w:ascii="Arial" w:hAnsi="Arial" w:cs="Arial"/>
          <w:sz w:val="20"/>
          <w:szCs w:val="20"/>
        </w:rPr>
        <w:t xml:space="preserve"> Subsidiaries in the scope of the Short Term Exercise collected for SREP purposes (STE) should also be in scope</w:t>
      </w:r>
      <w:r w:rsidR="007006E8" w:rsidRPr="00DA7242">
        <w:rPr>
          <w:rFonts w:ascii="Arial" w:hAnsi="Arial" w:cs="Arial"/>
          <w:sz w:val="20"/>
          <w:szCs w:val="20"/>
        </w:rPr>
        <w:t xml:space="preserve"> of the COVID-19 reporting</w:t>
      </w:r>
      <w:r w:rsidR="00F03BB5" w:rsidRPr="00DA7242">
        <w:rPr>
          <w:rFonts w:ascii="Arial" w:hAnsi="Arial" w:cs="Arial"/>
          <w:sz w:val="20"/>
          <w:szCs w:val="20"/>
        </w:rPr>
        <w:t xml:space="preserve">. </w:t>
      </w:r>
      <w:r w:rsidRPr="00DA7242">
        <w:rPr>
          <w:rFonts w:ascii="Arial" w:hAnsi="Arial" w:cs="Arial"/>
          <w:sz w:val="20"/>
          <w:szCs w:val="20"/>
        </w:rPr>
        <w:t xml:space="preserve">All templates </w:t>
      </w:r>
      <w:r w:rsidR="00E86D6B" w:rsidRPr="00DA7242">
        <w:rPr>
          <w:rFonts w:ascii="Arial" w:hAnsi="Arial" w:cs="Arial"/>
          <w:sz w:val="20"/>
          <w:szCs w:val="20"/>
        </w:rPr>
        <w:t xml:space="preserve">are expected </w:t>
      </w:r>
      <w:r w:rsidRPr="00DA7242">
        <w:rPr>
          <w:rFonts w:ascii="Arial" w:hAnsi="Arial" w:cs="Arial"/>
          <w:sz w:val="20"/>
          <w:szCs w:val="20"/>
        </w:rPr>
        <w:t xml:space="preserve">to be </w:t>
      </w:r>
      <w:r w:rsidR="00826A21" w:rsidRPr="00DA7242">
        <w:rPr>
          <w:rFonts w:ascii="Arial" w:hAnsi="Arial" w:cs="Arial"/>
          <w:sz w:val="20"/>
          <w:szCs w:val="20"/>
        </w:rPr>
        <w:t xml:space="preserve">reported by all institutions in </w:t>
      </w:r>
      <w:r w:rsidRPr="00DA7242">
        <w:rPr>
          <w:rFonts w:ascii="Arial" w:hAnsi="Arial" w:cs="Arial"/>
          <w:sz w:val="20"/>
          <w:szCs w:val="20"/>
        </w:rPr>
        <w:t xml:space="preserve">scope. </w:t>
      </w:r>
    </w:p>
    <w:p w14:paraId="7D695AA8" w14:textId="2CDCBD9A" w:rsidR="00103261" w:rsidRPr="00DA7242" w:rsidRDefault="001A2877" w:rsidP="00AE53E2">
      <w:pPr>
        <w:jc w:val="both"/>
        <w:rPr>
          <w:rFonts w:ascii="Arial" w:hAnsi="Arial" w:cs="Arial"/>
          <w:sz w:val="20"/>
          <w:szCs w:val="20"/>
        </w:rPr>
      </w:pPr>
      <w:r w:rsidRPr="00DA7242">
        <w:rPr>
          <w:rFonts w:ascii="Arial" w:hAnsi="Arial" w:cs="Arial"/>
          <w:b/>
          <w:sz w:val="20"/>
          <w:szCs w:val="20"/>
        </w:rPr>
        <w:t>Exception:</w:t>
      </w:r>
      <w:r w:rsidR="00AE53E2" w:rsidRPr="00DA7242">
        <w:rPr>
          <w:rFonts w:ascii="Arial" w:hAnsi="Arial" w:cs="Arial"/>
          <w:sz w:val="20"/>
          <w:szCs w:val="20"/>
        </w:rPr>
        <w:t xml:space="preserve"> </w:t>
      </w:r>
      <w:r w:rsidRPr="00DA7242">
        <w:rPr>
          <w:rFonts w:ascii="Arial" w:hAnsi="Arial" w:cs="Arial"/>
          <w:sz w:val="20"/>
          <w:szCs w:val="20"/>
        </w:rPr>
        <w:t xml:space="preserve">for the </w:t>
      </w:r>
      <w:r w:rsidR="00AE53E2" w:rsidRPr="00DA7242">
        <w:rPr>
          <w:rFonts w:ascii="Arial" w:hAnsi="Arial" w:cs="Arial"/>
          <w:sz w:val="20"/>
          <w:szCs w:val="20"/>
        </w:rPr>
        <w:t>Market Risk templates</w:t>
      </w:r>
      <w:r w:rsidRPr="00DA7242">
        <w:rPr>
          <w:rFonts w:ascii="Arial" w:hAnsi="Arial" w:cs="Arial"/>
          <w:sz w:val="20"/>
          <w:szCs w:val="20"/>
        </w:rPr>
        <w:t>, some tables have to be reported by a sub-set of institutions meeting certain criteria (please refer to the Market Risk section for further details).</w:t>
      </w:r>
    </w:p>
    <w:p w14:paraId="4DC7E00F" w14:textId="77777777" w:rsidR="00BE348D" w:rsidRPr="00DA7242" w:rsidRDefault="00BE348D" w:rsidP="00BE348D">
      <w:pPr>
        <w:jc w:val="center"/>
        <w:rPr>
          <w:rFonts w:ascii="Arial" w:hAnsi="Arial" w:cs="Arial"/>
          <w:b/>
          <w:sz w:val="20"/>
          <w:szCs w:val="20"/>
        </w:rPr>
      </w:pPr>
      <w:r w:rsidRPr="00DA7242">
        <w:rPr>
          <w:rFonts w:ascii="Arial" w:hAnsi="Arial" w:cs="Arial"/>
          <w:b/>
          <w:sz w:val="20"/>
          <w:szCs w:val="20"/>
        </w:rPr>
        <w:t>Structure of the reporting</w:t>
      </w:r>
    </w:p>
    <w:p w14:paraId="4B8C7F35" w14:textId="77777777" w:rsidR="00313B99" w:rsidRPr="00DA7242" w:rsidRDefault="00313B99" w:rsidP="00313B99">
      <w:pPr>
        <w:jc w:val="both"/>
        <w:rPr>
          <w:rFonts w:ascii="Arial" w:hAnsi="Arial" w:cs="Arial"/>
          <w:sz w:val="20"/>
          <w:szCs w:val="20"/>
        </w:rPr>
      </w:pPr>
      <w:r w:rsidRPr="00DA7242">
        <w:rPr>
          <w:rFonts w:ascii="Arial" w:hAnsi="Arial" w:cs="Arial"/>
          <w:sz w:val="20"/>
          <w:szCs w:val="20"/>
        </w:rPr>
        <w:t>The COVID-19 reporting rests on three main blocks: (A) Overview and Operational Continuity, (B) Credit Risk</w:t>
      </w:r>
      <w:r w:rsidRPr="00DA7242">
        <w:rPr>
          <w:rStyle w:val="FootnoteReference"/>
          <w:rFonts w:ascii="Arial" w:hAnsi="Arial" w:cs="Arial"/>
          <w:sz w:val="20"/>
          <w:szCs w:val="20"/>
        </w:rPr>
        <w:footnoteReference w:id="2"/>
      </w:r>
      <w:r w:rsidRPr="00DA7242">
        <w:rPr>
          <w:rFonts w:ascii="Arial" w:hAnsi="Arial" w:cs="Arial"/>
          <w:sz w:val="20"/>
          <w:szCs w:val="20"/>
        </w:rPr>
        <w:t xml:space="preserve"> and (C) Market Risk which are further described in the following sections.</w:t>
      </w:r>
    </w:p>
    <w:p w14:paraId="6E626B85" w14:textId="77777777" w:rsidR="00DC288B" w:rsidRPr="00DA7242" w:rsidRDefault="00DC288B" w:rsidP="00DC288B">
      <w:pPr>
        <w:jc w:val="center"/>
        <w:rPr>
          <w:rFonts w:ascii="Arial" w:hAnsi="Arial" w:cs="Arial"/>
          <w:b/>
          <w:sz w:val="20"/>
          <w:szCs w:val="20"/>
        </w:rPr>
      </w:pPr>
      <w:r w:rsidRPr="00DA7242">
        <w:rPr>
          <w:rFonts w:ascii="Arial" w:hAnsi="Arial" w:cs="Arial"/>
          <w:b/>
          <w:sz w:val="20"/>
          <w:szCs w:val="20"/>
        </w:rPr>
        <w:t>Reporting frequency and submission dates</w:t>
      </w:r>
    </w:p>
    <w:p w14:paraId="1E5F8C06" w14:textId="77777777" w:rsidR="00313B99" w:rsidRPr="00DA7242" w:rsidRDefault="00313B99" w:rsidP="00313B99">
      <w:pPr>
        <w:jc w:val="both"/>
        <w:rPr>
          <w:rFonts w:ascii="Arial" w:hAnsi="Arial" w:cs="Arial"/>
          <w:sz w:val="20"/>
          <w:szCs w:val="20"/>
        </w:rPr>
      </w:pPr>
      <w:r w:rsidRPr="00DA7242">
        <w:rPr>
          <w:rFonts w:ascii="Arial" w:hAnsi="Arial" w:cs="Arial"/>
          <w:sz w:val="20"/>
          <w:szCs w:val="20"/>
        </w:rPr>
        <w:t>The first reporting reference date is 31 May 2020 but banks are exceptionally expected to submit information on Moratoria and State Guaranties</w:t>
      </w:r>
      <w:r w:rsidRPr="00DA7242">
        <w:rPr>
          <w:rStyle w:val="FootnoteReference"/>
          <w:rFonts w:ascii="Arial" w:hAnsi="Arial" w:cs="Arial"/>
          <w:sz w:val="20"/>
          <w:szCs w:val="20"/>
        </w:rPr>
        <w:footnoteReference w:id="3"/>
      </w:r>
      <w:r w:rsidRPr="00DA7242">
        <w:rPr>
          <w:rFonts w:ascii="Arial" w:hAnsi="Arial" w:cs="Arial"/>
          <w:sz w:val="20"/>
          <w:szCs w:val="20"/>
        </w:rPr>
        <w:t xml:space="preserve"> also for 31 March 2020. The first remittance date is 26 June 2020.</w:t>
      </w:r>
    </w:p>
    <w:p w14:paraId="0054943A" w14:textId="15F35287" w:rsidR="00DC288B" w:rsidRPr="00DA7242" w:rsidRDefault="001136EB" w:rsidP="00383BDC">
      <w:pPr>
        <w:jc w:val="both"/>
        <w:rPr>
          <w:rFonts w:ascii="Arial" w:hAnsi="Arial" w:cs="Arial"/>
          <w:sz w:val="20"/>
          <w:szCs w:val="20"/>
        </w:rPr>
      </w:pPr>
      <w:r w:rsidRPr="00DA7242">
        <w:rPr>
          <w:rFonts w:ascii="Arial" w:hAnsi="Arial" w:cs="Arial"/>
          <w:sz w:val="20"/>
          <w:szCs w:val="20"/>
        </w:rPr>
        <w:t xml:space="preserve">Following this transitional phase, </w:t>
      </w:r>
      <w:r w:rsidR="00F30840" w:rsidRPr="00DA7242">
        <w:rPr>
          <w:rFonts w:ascii="Arial" w:hAnsi="Arial" w:cs="Arial"/>
          <w:sz w:val="20"/>
          <w:szCs w:val="20"/>
        </w:rPr>
        <w:t xml:space="preserve">the </w:t>
      </w:r>
      <w:r w:rsidR="00383BDC" w:rsidRPr="00DA7242">
        <w:rPr>
          <w:rFonts w:ascii="Arial" w:hAnsi="Arial" w:cs="Arial"/>
          <w:sz w:val="20"/>
          <w:szCs w:val="20"/>
        </w:rPr>
        <w:t>COVID-19</w:t>
      </w:r>
      <w:r w:rsidR="00F30840" w:rsidRPr="00DA7242">
        <w:rPr>
          <w:rFonts w:ascii="Arial" w:hAnsi="Arial" w:cs="Arial"/>
          <w:sz w:val="20"/>
          <w:szCs w:val="20"/>
        </w:rPr>
        <w:t xml:space="preserve"> reporting </w:t>
      </w:r>
      <w:r w:rsidR="00E86D6B" w:rsidRPr="00DA7242">
        <w:rPr>
          <w:rFonts w:ascii="Arial" w:hAnsi="Arial" w:cs="Arial"/>
          <w:sz w:val="20"/>
          <w:szCs w:val="20"/>
        </w:rPr>
        <w:t xml:space="preserve">is expected </w:t>
      </w:r>
      <w:r w:rsidR="002620DD">
        <w:rPr>
          <w:rFonts w:ascii="Arial" w:hAnsi="Arial" w:cs="Arial"/>
          <w:sz w:val="20"/>
          <w:szCs w:val="20"/>
        </w:rPr>
        <w:t xml:space="preserve">to </w:t>
      </w:r>
      <w:r w:rsidR="00F30840" w:rsidRPr="00DA7242">
        <w:rPr>
          <w:rFonts w:ascii="Arial" w:hAnsi="Arial" w:cs="Arial"/>
          <w:sz w:val="20"/>
          <w:szCs w:val="20"/>
        </w:rPr>
        <w:t>be reported with a monthly frequency according</w:t>
      </w:r>
      <w:r w:rsidR="00040426" w:rsidRPr="00DA7242">
        <w:rPr>
          <w:rFonts w:ascii="Arial" w:hAnsi="Arial" w:cs="Arial"/>
          <w:sz w:val="20"/>
          <w:szCs w:val="20"/>
        </w:rPr>
        <w:t xml:space="preserve"> to</w:t>
      </w:r>
      <w:r w:rsidR="00F30840" w:rsidRPr="00DA7242">
        <w:rPr>
          <w:rFonts w:ascii="Arial" w:hAnsi="Arial" w:cs="Arial"/>
          <w:sz w:val="20"/>
          <w:szCs w:val="20"/>
        </w:rPr>
        <w:t xml:space="preserve"> the below calendar.</w:t>
      </w:r>
      <w:r w:rsidR="008708EC" w:rsidRPr="00DA7242">
        <w:rPr>
          <w:rFonts w:ascii="Arial" w:hAnsi="Arial" w:cs="Arial"/>
          <w:sz w:val="20"/>
          <w:szCs w:val="20"/>
        </w:rPr>
        <w:t xml:space="preserve"> </w:t>
      </w:r>
    </w:p>
    <w:p w14:paraId="47C71E22" w14:textId="761C9FBA" w:rsidR="008708EC" w:rsidRPr="00DA7242" w:rsidRDefault="008708EC" w:rsidP="00DC288B">
      <w:pPr>
        <w:jc w:val="both"/>
        <w:rPr>
          <w:rFonts w:ascii="Arial" w:hAnsi="Arial" w:cs="Arial"/>
          <w:sz w:val="20"/>
          <w:szCs w:val="20"/>
        </w:rPr>
      </w:pPr>
      <w:r w:rsidRPr="00DA7242">
        <w:rPr>
          <w:rFonts w:ascii="Arial" w:hAnsi="Arial" w:cs="Arial"/>
          <w:sz w:val="20"/>
          <w:szCs w:val="20"/>
        </w:rPr>
        <w:t xml:space="preserve">In order to avoid double reporting of information already collected in the context of </w:t>
      </w:r>
      <w:r w:rsidR="00F30840" w:rsidRPr="00DA7242">
        <w:rPr>
          <w:rFonts w:ascii="Arial" w:hAnsi="Arial" w:cs="Arial"/>
          <w:sz w:val="20"/>
          <w:szCs w:val="20"/>
        </w:rPr>
        <w:t xml:space="preserve">the </w:t>
      </w:r>
      <w:r w:rsidRPr="00DA7242">
        <w:rPr>
          <w:rFonts w:ascii="Arial" w:hAnsi="Arial" w:cs="Arial"/>
          <w:sz w:val="20"/>
          <w:szCs w:val="20"/>
        </w:rPr>
        <w:t xml:space="preserve">regular </w:t>
      </w:r>
      <w:r w:rsidR="00F30840" w:rsidRPr="00DA7242">
        <w:rPr>
          <w:rFonts w:ascii="Arial" w:hAnsi="Arial" w:cs="Arial"/>
          <w:sz w:val="20"/>
          <w:szCs w:val="20"/>
        </w:rPr>
        <w:t xml:space="preserve">FINREP/COREP </w:t>
      </w:r>
      <w:r w:rsidRPr="00DA7242">
        <w:rPr>
          <w:rFonts w:ascii="Arial" w:hAnsi="Arial" w:cs="Arial"/>
          <w:sz w:val="20"/>
          <w:szCs w:val="20"/>
        </w:rPr>
        <w:t>and STE</w:t>
      </w:r>
      <w:r w:rsidR="00F30840" w:rsidRPr="00DA7242">
        <w:rPr>
          <w:rFonts w:ascii="Arial" w:hAnsi="Arial" w:cs="Arial"/>
          <w:sz w:val="20"/>
          <w:szCs w:val="20"/>
        </w:rPr>
        <w:t xml:space="preserve">, </w:t>
      </w:r>
      <w:r w:rsidRPr="00DA7242">
        <w:rPr>
          <w:rFonts w:ascii="Arial" w:hAnsi="Arial" w:cs="Arial"/>
          <w:sz w:val="20"/>
          <w:szCs w:val="20"/>
        </w:rPr>
        <w:t xml:space="preserve">reporting submissions with quarter end reference dates </w:t>
      </w:r>
      <w:r w:rsidR="00DF13C3" w:rsidRPr="00DA7242">
        <w:rPr>
          <w:rFonts w:ascii="Arial" w:hAnsi="Arial" w:cs="Arial"/>
          <w:sz w:val="20"/>
          <w:szCs w:val="20"/>
        </w:rPr>
        <w:t xml:space="preserve">can </w:t>
      </w:r>
      <w:r w:rsidRPr="00DA7242">
        <w:rPr>
          <w:rFonts w:ascii="Arial" w:hAnsi="Arial" w:cs="Arial"/>
          <w:sz w:val="20"/>
          <w:szCs w:val="20"/>
        </w:rPr>
        <w:t xml:space="preserve">only include data points not overlapping with </w:t>
      </w:r>
      <w:r w:rsidR="00F30840" w:rsidRPr="00DA7242">
        <w:rPr>
          <w:rFonts w:ascii="Arial" w:hAnsi="Arial" w:cs="Arial"/>
          <w:sz w:val="20"/>
          <w:szCs w:val="20"/>
        </w:rPr>
        <w:t>these common reporting</w:t>
      </w:r>
      <w:r w:rsidRPr="00DA7242">
        <w:rPr>
          <w:rFonts w:ascii="Arial" w:hAnsi="Arial" w:cs="Arial"/>
          <w:sz w:val="20"/>
          <w:szCs w:val="20"/>
        </w:rPr>
        <w:t xml:space="preserve"> (“light template”).</w:t>
      </w:r>
    </w:p>
    <w:tbl>
      <w:tblPr>
        <w:tblW w:w="9087"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0"/>
        <w:gridCol w:w="1660"/>
        <w:gridCol w:w="2560"/>
        <w:gridCol w:w="2867"/>
      </w:tblGrid>
      <w:tr w:rsidR="006069F6" w:rsidRPr="00DA7242" w14:paraId="6A0A9E7A" w14:textId="77777777" w:rsidTr="0035689D">
        <w:trPr>
          <w:trHeight w:val="636"/>
        </w:trPr>
        <w:tc>
          <w:tcPr>
            <w:tcW w:w="2000" w:type="dxa"/>
            <w:shd w:val="clear" w:color="000000" w:fill="A6A6A6"/>
            <w:noWrap/>
            <w:vAlign w:val="bottom"/>
            <w:hideMark/>
          </w:tcPr>
          <w:p w14:paraId="58F5FB09"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Template</w:t>
            </w:r>
          </w:p>
        </w:tc>
        <w:tc>
          <w:tcPr>
            <w:tcW w:w="1660" w:type="dxa"/>
            <w:shd w:val="clear" w:color="000000" w:fill="A6A6A6"/>
            <w:noWrap/>
            <w:vAlign w:val="bottom"/>
            <w:hideMark/>
          </w:tcPr>
          <w:p w14:paraId="6FAC6B19"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Reference Date</w:t>
            </w:r>
          </w:p>
        </w:tc>
        <w:tc>
          <w:tcPr>
            <w:tcW w:w="2560" w:type="dxa"/>
            <w:shd w:val="clear" w:color="000000" w:fill="A6A6A6"/>
            <w:noWrap/>
            <w:vAlign w:val="bottom"/>
            <w:hideMark/>
          </w:tcPr>
          <w:p w14:paraId="44958E53"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Remittance date</w:t>
            </w:r>
          </w:p>
        </w:tc>
        <w:tc>
          <w:tcPr>
            <w:tcW w:w="2867" w:type="dxa"/>
            <w:shd w:val="clear" w:color="000000" w:fill="A6A6A6"/>
            <w:vAlign w:val="center"/>
            <w:hideMark/>
          </w:tcPr>
          <w:p w14:paraId="3881E3BD"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Cells in blue can be left empty (Light Template)</w:t>
            </w:r>
          </w:p>
        </w:tc>
      </w:tr>
      <w:tr w:rsidR="006069F6" w:rsidRPr="00DA7242" w14:paraId="0783CFC7" w14:textId="77777777" w:rsidTr="0035689D">
        <w:trPr>
          <w:trHeight w:val="288"/>
        </w:trPr>
        <w:tc>
          <w:tcPr>
            <w:tcW w:w="2000" w:type="dxa"/>
            <w:shd w:val="clear" w:color="000000" w:fill="FDE9D9"/>
            <w:noWrap/>
            <w:vAlign w:val="bottom"/>
            <w:hideMark/>
          </w:tcPr>
          <w:p w14:paraId="346E9FD6" w14:textId="3DCAEDA7" w:rsidR="006069F6" w:rsidRPr="0035689D" w:rsidRDefault="00313B99"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Information on Moratoria and State Guaranties</w:t>
            </w:r>
            <w:r w:rsidRPr="0035689D" w:rsidDel="00313B99">
              <w:rPr>
                <w:rFonts w:ascii="Arial" w:eastAsia="Times New Roman" w:hAnsi="Arial" w:cs="Arial"/>
                <w:color w:val="000000"/>
                <w:sz w:val="20"/>
                <w:szCs w:val="20"/>
                <w:lang w:eastAsia="en-GB"/>
              </w:rPr>
              <w:t xml:space="preserve"> </w:t>
            </w:r>
            <w:r w:rsidRPr="0035689D">
              <w:rPr>
                <w:rStyle w:val="FootnoteReference"/>
                <w:rFonts w:ascii="Arial" w:eastAsia="Times New Roman" w:hAnsi="Arial" w:cs="Arial"/>
                <w:color w:val="000000"/>
                <w:sz w:val="20"/>
                <w:szCs w:val="20"/>
                <w:lang w:eastAsia="en-GB"/>
              </w:rPr>
              <w:footnoteReference w:id="4"/>
            </w:r>
          </w:p>
        </w:tc>
        <w:tc>
          <w:tcPr>
            <w:tcW w:w="1660" w:type="dxa"/>
            <w:shd w:val="clear" w:color="000000" w:fill="FDE9D9"/>
            <w:noWrap/>
            <w:vAlign w:val="bottom"/>
            <w:hideMark/>
          </w:tcPr>
          <w:p w14:paraId="12F6B5B4"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31.03.2020</w:t>
            </w:r>
          </w:p>
        </w:tc>
        <w:tc>
          <w:tcPr>
            <w:tcW w:w="2560" w:type="dxa"/>
            <w:shd w:val="clear" w:color="000000" w:fill="FDE9D9"/>
            <w:noWrap/>
            <w:vAlign w:val="bottom"/>
            <w:hideMark/>
          </w:tcPr>
          <w:p w14:paraId="1DA56F84"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26.06.2020</w:t>
            </w:r>
          </w:p>
        </w:tc>
        <w:tc>
          <w:tcPr>
            <w:tcW w:w="2867" w:type="dxa"/>
            <w:shd w:val="clear" w:color="000000" w:fill="FDE9D9"/>
            <w:noWrap/>
            <w:vAlign w:val="bottom"/>
            <w:hideMark/>
          </w:tcPr>
          <w:p w14:paraId="6EB3EC79"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r w:rsidR="006069F6" w:rsidRPr="00DA7242" w14:paraId="4C66463D" w14:textId="77777777" w:rsidTr="0035689D">
        <w:trPr>
          <w:trHeight w:val="288"/>
        </w:trPr>
        <w:tc>
          <w:tcPr>
            <w:tcW w:w="2000" w:type="dxa"/>
            <w:shd w:val="clear" w:color="auto" w:fill="auto"/>
            <w:noWrap/>
            <w:vAlign w:val="bottom"/>
            <w:hideMark/>
          </w:tcPr>
          <w:p w14:paraId="66C6B578" w14:textId="2FABB2C7"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Style w:val="FootnoteReference"/>
                <w:rFonts w:ascii="Arial" w:eastAsia="Times New Roman" w:hAnsi="Arial" w:cs="Arial"/>
                <w:color w:val="000000"/>
                <w:sz w:val="20"/>
                <w:szCs w:val="20"/>
                <w:lang w:eastAsia="en-GB"/>
              </w:rPr>
              <w:footnoteReference w:id="5"/>
            </w:r>
          </w:p>
        </w:tc>
        <w:tc>
          <w:tcPr>
            <w:tcW w:w="1660" w:type="dxa"/>
            <w:shd w:val="clear" w:color="auto" w:fill="auto"/>
            <w:noWrap/>
            <w:vAlign w:val="bottom"/>
            <w:hideMark/>
          </w:tcPr>
          <w:p w14:paraId="702CB4ED"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31.05.2020</w:t>
            </w:r>
          </w:p>
        </w:tc>
        <w:tc>
          <w:tcPr>
            <w:tcW w:w="2560" w:type="dxa"/>
            <w:shd w:val="clear" w:color="auto" w:fill="auto"/>
            <w:noWrap/>
            <w:vAlign w:val="bottom"/>
            <w:hideMark/>
          </w:tcPr>
          <w:p w14:paraId="7E25DD5B"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26.06.2020</w:t>
            </w:r>
          </w:p>
        </w:tc>
        <w:tc>
          <w:tcPr>
            <w:tcW w:w="2867" w:type="dxa"/>
            <w:shd w:val="clear" w:color="auto" w:fill="auto"/>
            <w:noWrap/>
            <w:vAlign w:val="bottom"/>
            <w:hideMark/>
          </w:tcPr>
          <w:p w14:paraId="0DA9F69B"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55C66302" w14:textId="77777777" w:rsidTr="0035689D">
        <w:trPr>
          <w:trHeight w:val="288"/>
        </w:trPr>
        <w:tc>
          <w:tcPr>
            <w:tcW w:w="2000" w:type="dxa"/>
            <w:shd w:val="clear" w:color="000000" w:fill="D9D9D9"/>
            <w:noWrap/>
            <w:vAlign w:val="bottom"/>
            <w:hideMark/>
          </w:tcPr>
          <w:p w14:paraId="0AA17944" w14:textId="04B22CC8"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000000" w:fill="D9D9D9"/>
            <w:noWrap/>
            <w:vAlign w:val="bottom"/>
            <w:hideMark/>
          </w:tcPr>
          <w:p w14:paraId="6FB5D6C7"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30.06.2020</w:t>
            </w:r>
          </w:p>
        </w:tc>
        <w:tc>
          <w:tcPr>
            <w:tcW w:w="2560" w:type="dxa"/>
            <w:shd w:val="clear" w:color="000000" w:fill="D9D9D9"/>
            <w:noWrap/>
            <w:vAlign w:val="bottom"/>
            <w:hideMark/>
          </w:tcPr>
          <w:p w14:paraId="2DFD8F86"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24.07.2020</w:t>
            </w:r>
          </w:p>
        </w:tc>
        <w:tc>
          <w:tcPr>
            <w:tcW w:w="2867" w:type="dxa"/>
            <w:shd w:val="clear" w:color="000000" w:fill="D9D9D9"/>
            <w:noWrap/>
            <w:vAlign w:val="bottom"/>
            <w:hideMark/>
          </w:tcPr>
          <w:p w14:paraId="7377CB7D"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r w:rsidR="006069F6" w:rsidRPr="00DA7242" w14:paraId="260870D3" w14:textId="77777777" w:rsidTr="0035689D">
        <w:trPr>
          <w:trHeight w:val="288"/>
        </w:trPr>
        <w:tc>
          <w:tcPr>
            <w:tcW w:w="2000" w:type="dxa"/>
            <w:shd w:val="clear" w:color="auto" w:fill="auto"/>
            <w:noWrap/>
            <w:vAlign w:val="bottom"/>
            <w:hideMark/>
          </w:tcPr>
          <w:p w14:paraId="36D13372" w14:textId="3CE10146"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12AF6F96"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31.07.2020</w:t>
            </w:r>
          </w:p>
        </w:tc>
        <w:tc>
          <w:tcPr>
            <w:tcW w:w="2560" w:type="dxa"/>
            <w:shd w:val="clear" w:color="auto" w:fill="auto"/>
            <w:noWrap/>
            <w:vAlign w:val="bottom"/>
            <w:hideMark/>
          </w:tcPr>
          <w:p w14:paraId="6F5898CB"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28.08.2020</w:t>
            </w:r>
          </w:p>
        </w:tc>
        <w:tc>
          <w:tcPr>
            <w:tcW w:w="2867" w:type="dxa"/>
            <w:shd w:val="clear" w:color="auto" w:fill="auto"/>
            <w:noWrap/>
            <w:vAlign w:val="bottom"/>
            <w:hideMark/>
          </w:tcPr>
          <w:p w14:paraId="34EA92A4"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3D78174C" w14:textId="77777777" w:rsidTr="0035689D">
        <w:trPr>
          <w:trHeight w:val="288"/>
        </w:trPr>
        <w:tc>
          <w:tcPr>
            <w:tcW w:w="2000" w:type="dxa"/>
            <w:shd w:val="clear" w:color="auto" w:fill="auto"/>
            <w:noWrap/>
            <w:vAlign w:val="bottom"/>
            <w:hideMark/>
          </w:tcPr>
          <w:p w14:paraId="2CDD20ED" w14:textId="0FF16EA0"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3A44E882"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31.08.2020</w:t>
            </w:r>
          </w:p>
        </w:tc>
        <w:tc>
          <w:tcPr>
            <w:tcW w:w="2560" w:type="dxa"/>
            <w:shd w:val="clear" w:color="auto" w:fill="auto"/>
            <w:noWrap/>
            <w:vAlign w:val="bottom"/>
            <w:hideMark/>
          </w:tcPr>
          <w:p w14:paraId="009896DA"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25.09.2020</w:t>
            </w:r>
          </w:p>
        </w:tc>
        <w:tc>
          <w:tcPr>
            <w:tcW w:w="2867" w:type="dxa"/>
            <w:shd w:val="clear" w:color="auto" w:fill="auto"/>
            <w:noWrap/>
            <w:vAlign w:val="bottom"/>
            <w:hideMark/>
          </w:tcPr>
          <w:p w14:paraId="78DFD194"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6719CD02" w14:textId="77777777" w:rsidTr="0035689D">
        <w:trPr>
          <w:trHeight w:val="288"/>
        </w:trPr>
        <w:tc>
          <w:tcPr>
            <w:tcW w:w="2000" w:type="dxa"/>
            <w:shd w:val="clear" w:color="000000" w:fill="D9D9D9"/>
            <w:noWrap/>
            <w:vAlign w:val="bottom"/>
            <w:hideMark/>
          </w:tcPr>
          <w:p w14:paraId="43229FA4" w14:textId="3EAD93D3"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000000" w:fill="D9D9D9"/>
            <w:noWrap/>
            <w:vAlign w:val="bottom"/>
            <w:hideMark/>
          </w:tcPr>
          <w:p w14:paraId="22533909"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30.09.2020</w:t>
            </w:r>
          </w:p>
        </w:tc>
        <w:tc>
          <w:tcPr>
            <w:tcW w:w="2560" w:type="dxa"/>
            <w:shd w:val="clear" w:color="000000" w:fill="D9D9D9"/>
            <w:noWrap/>
            <w:vAlign w:val="bottom"/>
            <w:hideMark/>
          </w:tcPr>
          <w:p w14:paraId="6DBFDBAB"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30.10.2020</w:t>
            </w:r>
          </w:p>
        </w:tc>
        <w:tc>
          <w:tcPr>
            <w:tcW w:w="2867" w:type="dxa"/>
            <w:shd w:val="clear" w:color="000000" w:fill="D9D9D9"/>
            <w:noWrap/>
            <w:vAlign w:val="bottom"/>
            <w:hideMark/>
          </w:tcPr>
          <w:p w14:paraId="745B214F"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r w:rsidR="006069F6" w:rsidRPr="00DA7242" w14:paraId="77C591D5" w14:textId="77777777" w:rsidTr="0035689D">
        <w:trPr>
          <w:trHeight w:val="288"/>
        </w:trPr>
        <w:tc>
          <w:tcPr>
            <w:tcW w:w="2000" w:type="dxa"/>
            <w:shd w:val="clear" w:color="auto" w:fill="auto"/>
            <w:noWrap/>
            <w:vAlign w:val="bottom"/>
            <w:hideMark/>
          </w:tcPr>
          <w:p w14:paraId="63DAA290" w14:textId="1B150B66"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559B4A2C"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31.10.2020</w:t>
            </w:r>
          </w:p>
        </w:tc>
        <w:tc>
          <w:tcPr>
            <w:tcW w:w="2560" w:type="dxa"/>
            <w:shd w:val="clear" w:color="auto" w:fill="auto"/>
            <w:noWrap/>
            <w:vAlign w:val="bottom"/>
            <w:hideMark/>
          </w:tcPr>
          <w:p w14:paraId="41796E59"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27.11.2020</w:t>
            </w:r>
          </w:p>
        </w:tc>
        <w:tc>
          <w:tcPr>
            <w:tcW w:w="2867" w:type="dxa"/>
            <w:shd w:val="clear" w:color="auto" w:fill="auto"/>
            <w:noWrap/>
            <w:vAlign w:val="bottom"/>
            <w:hideMark/>
          </w:tcPr>
          <w:p w14:paraId="6A8B298A"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1835B363" w14:textId="77777777" w:rsidTr="0035689D">
        <w:trPr>
          <w:trHeight w:val="288"/>
        </w:trPr>
        <w:tc>
          <w:tcPr>
            <w:tcW w:w="2000" w:type="dxa"/>
            <w:shd w:val="clear" w:color="auto" w:fill="auto"/>
            <w:noWrap/>
            <w:vAlign w:val="bottom"/>
            <w:hideMark/>
          </w:tcPr>
          <w:p w14:paraId="71789E7F" w14:textId="1F974837"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3B657396"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30.11.2020</w:t>
            </w:r>
          </w:p>
        </w:tc>
        <w:tc>
          <w:tcPr>
            <w:tcW w:w="2560" w:type="dxa"/>
            <w:shd w:val="clear" w:color="auto" w:fill="auto"/>
            <w:noWrap/>
            <w:vAlign w:val="bottom"/>
            <w:hideMark/>
          </w:tcPr>
          <w:p w14:paraId="3E10084D"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23.12.2020</w:t>
            </w:r>
          </w:p>
        </w:tc>
        <w:tc>
          <w:tcPr>
            <w:tcW w:w="2867" w:type="dxa"/>
            <w:shd w:val="clear" w:color="auto" w:fill="auto"/>
            <w:noWrap/>
            <w:vAlign w:val="bottom"/>
            <w:hideMark/>
          </w:tcPr>
          <w:p w14:paraId="081B3E67"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37A413FC" w14:textId="77777777" w:rsidTr="0035689D">
        <w:trPr>
          <w:trHeight w:val="300"/>
        </w:trPr>
        <w:tc>
          <w:tcPr>
            <w:tcW w:w="2000" w:type="dxa"/>
            <w:shd w:val="clear" w:color="000000" w:fill="D9D9D9"/>
            <w:noWrap/>
            <w:vAlign w:val="bottom"/>
            <w:hideMark/>
          </w:tcPr>
          <w:p w14:paraId="5F2F98C2" w14:textId="46550DCF"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000000" w:fill="D9D9D9"/>
            <w:noWrap/>
            <w:vAlign w:val="bottom"/>
            <w:hideMark/>
          </w:tcPr>
          <w:p w14:paraId="4004225E"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31.12.2020</w:t>
            </w:r>
          </w:p>
        </w:tc>
        <w:tc>
          <w:tcPr>
            <w:tcW w:w="2560" w:type="dxa"/>
            <w:shd w:val="clear" w:color="000000" w:fill="D9D9D9"/>
            <w:noWrap/>
            <w:vAlign w:val="bottom"/>
            <w:hideMark/>
          </w:tcPr>
          <w:p w14:paraId="79A74C75"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29.01.2021</w:t>
            </w:r>
          </w:p>
        </w:tc>
        <w:tc>
          <w:tcPr>
            <w:tcW w:w="2867" w:type="dxa"/>
            <w:shd w:val="clear" w:color="000000" w:fill="D9D9D9"/>
            <w:noWrap/>
            <w:vAlign w:val="bottom"/>
            <w:hideMark/>
          </w:tcPr>
          <w:p w14:paraId="222D1C51"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bl>
    <w:p w14:paraId="54219348" w14:textId="4706B580" w:rsidR="006069F6" w:rsidRPr="00DA7242" w:rsidRDefault="006069F6" w:rsidP="00DC288B">
      <w:pPr>
        <w:jc w:val="both"/>
        <w:rPr>
          <w:rFonts w:ascii="Arial" w:hAnsi="Arial" w:cs="Arial"/>
          <w:sz w:val="20"/>
          <w:szCs w:val="20"/>
        </w:rPr>
      </w:pPr>
    </w:p>
    <w:p w14:paraId="6E3737B6" w14:textId="77777777" w:rsidR="00AB4424" w:rsidRPr="00DA7242" w:rsidRDefault="00AB4424" w:rsidP="00AB4424">
      <w:pPr>
        <w:jc w:val="center"/>
        <w:rPr>
          <w:rFonts w:ascii="Arial" w:hAnsi="Arial" w:cs="Arial"/>
          <w:b/>
          <w:sz w:val="20"/>
          <w:szCs w:val="20"/>
        </w:rPr>
      </w:pPr>
      <w:r w:rsidRPr="00DA7242">
        <w:rPr>
          <w:rFonts w:ascii="Arial" w:hAnsi="Arial" w:cs="Arial"/>
          <w:b/>
          <w:sz w:val="20"/>
          <w:szCs w:val="20"/>
        </w:rPr>
        <w:lastRenderedPageBreak/>
        <w:t>Conventions</w:t>
      </w:r>
    </w:p>
    <w:p w14:paraId="5761218C" w14:textId="1D16BBDE" w:rsidR="00AB4424" w:rsidRPr="00DA7242" w:rsidRDefault="00F04A49" w:rsidP="00AE53E2">
      <w:pPr>
        <w:jc w:val="both"/>
        <w:rPr>
          <w:rFonts w:ascii="Arial" w:hAnsi="Arial" w:cs="Arial"/>
          <w:sz w:val="20"/>
          <w:szCs w:val="20"/>
        </w:rPr>
      </w:pPr>
      <w:r w:rsidRPr="00DA7242">
        <w:rPr>
          <w:rFonts w:ascii="Arial" w:hAnsi="Arial" w:cs="Arial"/>
          <w:sz w:val="20"/>
          <w:szCs w:val="20"/>
        </w:rPr>
        <w:t xml:space="preserve">The template </w:t>
      </w:r>
      <w:r w:rsidR="00E86D6B" w:rsidRPr="00DA7242">
        <w:rPr>
          <w:rFonts w:ascii="Arial" w:hAnsi="Arial" w:cs="Arial"/>
          <w:sz w:val="20"/>
          <w:szCs w:val="20"/>
        </w:rPr>
        <w:t xml:space="preserve">should </w:t>
      </w:r>
      <w:r w:rsidRPr="00DA7242">
        <w:rPr>
          <w:rFonts w:ascii="Arial" w:hAnsi="Arial" w:cs="Arial"/>
          <w:sz w:val="20"/>
          <w:szCs w:val="20"/>
        </w:rPr>
        <w:t>not be modified in its content (</w:t>
      </w:r>
      <w:r w:rsidR="00E86D6B" w:rsidRPr="00DA7242">
        <w:rPr>
          <w:rFonts w:ascii="Arial" w:hAnsi="Arial" w:cs="Arial"/>
          <w:sz w:val="20"/>
          <w:szCs w:val="20"/>
        </w:rPr>
        <w:t>i.e.</w:t>
      </w:r>
      <w:r w:rsidR="00AC3943" w:rsidRPr="00DA7242">
        <w:rPr>
          <w:rFonts w:ascii="Arial" w:hAnsi="Arial" w:cs="Arial"/>
          <w:sz w:val="20"/>
          <w:szCs w:val="20"/>
        </w:rPr>
        <w:t xml:space="preserve"> </w:t>
      </w:r>
      <w:r w:rsidRPr="00DA7242">
        <w:rPr>
          <w:rFonts w:ascii="Arial" w:hAnsi="Arial" w:cs="Arial"/>
          <w:sz w:val="20"/>
          <w:szCs w:val="20"/>
        </w:rPr>
        <w:t>deleting</w:t>
      </w:r>
      <w:r w:rsidR="00462963" w:rsidRPr="00DA7242">
        <w:rPr>
          <w:rFonts w:ascii="Arial" w:hAnsi="Arial" w:cs="Arial"/>
          <w:sz w:val="20"/>
          <w:szCs w:val="20"/>
        </w:rPr>
        <w:t>/rearranging</w:t>
      </w:r>
      <w:r w:rsidRPr="00DA7242">
        <w:rPr>
          <w:rFonts w:ascii="Arial" w:hAnsi="Arial" w:cs="Arial"/>
          <w:sz w:val="20"/>
          <w:szCs w:val="20"/>
        </w:rPr>
        <w:t xml:space="preserve"> sheets or editing cells format/content). Data point</w:t>
      </w:r>
      <w:r w:rsidR="00F30840" w:rsidRPr="00DA7242">
        <w:rPr>
          <w:rFonts w:ascii="Arial" w:hAnsi="Arial" w:cs="Arial"/>
          <w:sz w:val="20"/>
          <w:szCs w:val="20"/>
        </w:rPr>
        <w:t>s</w:t>
      </w:r>
      <w:r w:rsidRPr="00DA7242">
        <w:rPr>
          <w:rFonts w:ascii="Arial" w:hAnsi="Arial" w:cs="Arial"/>
          <w:sz w:val="20"/>
          <w:szCs w:val="20"/>
        </w:rPr>
        <w:t xml:space="preserve"> shadowed in grey means that th</w:t>
      </w:r>
      <w:r w:rsidR="00F30840" w:rsidRPr="00DA7242">
        <w:rPr>
          <w:rFonts w:ascii="Arial" w:hAnsi="Arial" w:cs="Arial"/>
          <w:sz w:val="20"/>
          <w:szCs w:val="20"/>
        </w:rPr>
        <w:t>e corresponding</w:t>
      </w:r>
      <w:r w:rsidRPr="00DA7242">
        <w:rPr>
          <w:rFonts w:ascii="Arial" w:hAnsi="Arial" w:cs="Arial"/>
          <w:sz w:val="20"/>
          <w:szCs w:val="20"/>
        </w:rPr>
        <w:t xml:space="preserve"> data point should not be reported</w:t>
      </w:r>
      <w:r w:rsidR="00040426" w:rsidRPr="00DA7242">
        <w:rPr>
          <w:rFonts w:ascii="Arial" w:hAnsi="Arial" w:cs="Arial"/>
          <w:sz w:val="20"/>
          <w:szCs w:val="20"/>
        </w:rPr>
        <w:t xml:space="preserve"> (i.e. is either automatically calculated or not applicable at this stage)</w:t>
      </w:r>
      <w:r w:rsidRPr="00DA7242">
        <w:rPr>
          <w:rFonts w:ascii="Arial" w:hAnsi="Arial" w:cs="Arial"/>
          <w:sz w:val="20"/>
          <w:szCs w:val="20"/>
        </w:rPr>
        <w:t xml:space="preserve"> and ‘of which’ refers to an item that is a subset of a higher-level category. All </w:t>
      </w:r>
      <w:r w:rsidR="00DE7782" w:rsidRPr="00B43B69">
        <w:rPr>
          <w:rFonts w:ascii="Arial" w:hAnsi="Arial" w:cs="Arial"/>
          <w:sz w:val="20"/>
          <w:szCs w:val="20"/>
        </w:rPr>
        <w:t>monetary</w:t>
      </w:r>
      <w:r w:rsidR="00DE7782" w:rsidRPr="0049698A">
        <w:rPr>
          <w:rFonts w:ascii="Arial" w:hAnsi="Arial" w:cs="Arial"/>
          <w:sz w:val="20"/>
          <w:szCs w:val="20"/>
        </w:rPr>
        <w:t xml:space="preserve"> </w:t>
      </w:r>
      <w:r w:rsidRPr="0049698A">
        <w:rPr>
          <w:rFonts w:ascii="Arial" w:hAnsi="Arial" w:cs="Arial"/>
          <w:sz w:val="20"/>
          <w:szCs w:val="20"/>
        </w:rPr>
        <w:t xml:space="preserve">amounts </w:t>
      </w:r>
      <w:r w:rsidR="00E86D6B" w:rsidRPr="0049698A">
        <w:rPr>
          <w:rFonts w:ascii="Arial" w:hAnsi="Arial" w:cs="Arial"/>
          <w:sz w:val="20"/>
          <w:szCs w:val="20"/>
        </w:rPr>
        <w:t xml:space="preserve">should </w:t>
      </w:r>
      <w:r w:rsidRPr="0049698A">
        <w:rPr>
          <w:rFonts w:ascii="Arial" w:hAnsi="Arial" w:cs="Arial"/>
          <w:sz w:val="20"/>
          <w:szCs w:val="20"/>
        </w:rPr>
        <w:t>be reported in EUR</w:t>
      </w:r>
      <w:r w:rsidR="00DE7782" w:rsidRPr="0049698A">
        <w:rPr>
          <w:rFonts w:ascii="Arial" w:hAnsi="Arial" w:cs="Arial"/>
          <w:sz w:val="20"/>
          <w:szCs w:val="20"/>
        </w:rPr>
        <w:t xml:space="preserve"> </w:t>
      </w:r>
      <w:r w:rsidR="00DE7782" w:rsidRPr="00B43B69">
        <w:rPr>
          <w:rFonts w:ascii="Arial" w:hAnsi="Arial" w:cs="Arial"/>
          <w:sz w:val="20"/>
          <w:szCs w:val="20"/>
        </w:rPr>
        <w:t>units,</w:t>
      </w:r>
      <w:r w:rsidR="00DE7782" w:rsidRPr="00B43B69">
        <w:t xml:space="preserve"> </w:t>
      </w:r>
      <w:r w:rsidR="00DE7782" w:rsidRPr="00B43B69">
        <w:rPr>
          <w:rFonts w:ascii="Arial" w:hAnsi="Arial" w:cs="Arial"/>
          <w:sz w:val="20"/>
          <w:szCs w:val="20"/>
        </w:rPr>
        <w:t xml:space="preserve">unless specifically mentioned in the instructions of a specific </w:t>
      </w:r>
      <w:proofErr w:type="spellStart"/>
      <w:r w:rsidR="00DE7782" w:rsidRPr="00B43B69">
        <w:rPr>
          <w:rFonts w:ascii="Arial" w:hAnsi="Arial" w:cs="Arial"/>
          <w:sz w:val="20"/>
          <w:szCs w:val="20"/>
        </w:rPr>
        <w:t>datapoint</w:t>
      </w:r>
      <w:proofErr w:type="spellEnd"/>
      <w:r w:rsidRPr="0049698A">
        <w:rPr>
          <w:rFonts w:ascii="Arial" w:hAnsi="Arial" w:cs="Arial"/>
          <w:sz w:val="20"/>
          <w:szCs w:val="20"/>
        </w:rPr>
        <w:t>.</w:t>
      </w:r>
      <w:r w:rsidRPr="00DA7242">
        <w:rPr>
          <w:rFonts w:ascii="Arial" w:hAnsi="Arial" w:cs="Arial"/>
          <w:sz w:val="20"/>
          <w:szCs w:val="20"/>
        </w:rPr>
        <w:t xml:space="preserve"> All currencies </w:t>
      </w:r>
      <w:r w:rsidR="00E86D6B" w:rsidRPr="00DA7242">
        <w:rPr>
          <w:rFonts w:ascii="Arial" w:hAnsi="Arial" w:cs="Arial"/>
          <w:sz w:val="20"/>
          <w:szCs w:val="20"/>
        </w:rPr>
        <w:t>should</w:t>
      </w:r>
      <w:r w:rsidRPr="00DA7242">
        <w:rPr>
          <w:rFonts w:ascii="Arial" w:hAnsi="Arial" w:cs="Arial"/>
          <w:sz w:val="20"/>
          <w:szCs w:val="20"/>
        </w:rPr>
        <w:t xml:space="preserve"> be converted into EUR, if not explicitly asked for other currencies. Banks should not use “n/a” or any other non-numerical characters in cells where digits are requested.</w:t>
      </w:r>
      <w:r w:rsidR="00592460" w:rsidRPr="00DA7242">
        <w:rPr>
          <w:rFonts w:ascii="Arial" w:hAnsi="Arial" w:cs="Arial"/>
          <w:sz w:val="20"/>
          <w:szCs w:val="20"/>
        </w:rPr>
        <w:t xml:space="preserve"> Empty cells mean that the institution is unable to deliver the required information. Cells filled with 0 mean that the value is actually 0. </w:t>
      </w:r>
      <w:r w:rsidR="008A769F" w:rsidRPr="00DA7242">
        <w:rPr>
          <w:rFonts w:ascii="Arial" w:hAnsi="Arial" w:cs="Arial"/>
          <w:sz w:val="20"/>
          <w:szCs w:val="20"/>
        </w:rPr>
        <w:t>Cells with text should not exceed 3,900 characters</w:t>
      </w:r>
      <w:r w:rsidR="00462963" w:rsidRPr="00DA7242">
        <w:rPr>
          <w:rFonts w:ascii="Arial" w:hAnsi="Arial" w:cs="Arial"/>
          <w:sz w:val="20"/>
          <w:szCs w:val="20"/>
        </w:rPr>
        <w:t>.</w:t>
      </w:r>
    </w:p>
    <w:p w14:paraId="4450EF5F" w14:textId="77777777" w:rsidR="00A3747E" w:rsidRPr="00DA7242" w:rsidRDefault="00A3747E" w:rsidP="00A3747E">
      <w:pPr>
        <w:jc w:val="center"/>
        <w:rPr>
          <w:rFonts w:ascii="Arial" w:hAnsi="Arial" w:cs="Arial"/>
          <w:b/>
          <w:sz w:val="20"/>
          <w:szCs w:val="20"/>
        </w:rPr>
      </w:pPr>
      <w:bookmarkStart w:id="0" w:name="_Toc19715712"/>
      <w:r w:rsidRPr="00DA7242">
        <w:rPr>
          <w:rFonts w:ascii="Arial" w:hAnsi="Arial" w:cs="Arial"/>
          <w:b/>
          <w:sz w:val="20"/>
          <w:szCs w:val="20"/>
        </w:rPr>
        <w:t>Abbreviations</w:t>
      </w:r>
      <w:bookmarkEnd w:id="0"/>
    </w:p>
    <w:p w14:paraId="6FFBDE7C" w14:textId="77777777" w:rsidR="00A3747E" w:rsidRPr="00DA7242" w:rsidRDefault="00A3747E" w:rsidP="001C0E38">
      <w:pPr>
        <w:jc w:val="both"/>
        <w:rPr>
          <w:rFonts w:ascii="Arial" w:hAnsi="Arial" w:cs="Arial"/>
          <w:sz w:val="20"/>
          <w:szCs w:val="20"/>
        </w:rPr>
      </w:pPr>
      <w:r w:rsidRPr="00DA7242">
        <w:rPr>
          <w:rFonts w:ascii="Arial" w:hAnsi="Arial" w:cs="Arial"/>
          <w:sz w:val="20"/>
          <w:szCs w:val="20"/>
        </w:rPr>
        <w:t>For the purpose of this Annex, the following abbreviations are applied:</w:t>
      </w:r>
    </w:p>
    <w:p w14:paraId="2C93261F"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‘CRR’: Regulation (EU) No 575/2013;</w:t>
      </w:r>
    </w:p>
    <w:p w14:paraId="242A3C78"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‘IFRS’: ‘International financial reporting standards’ as defined in Article 2 of the Regulation (EC) No 1606/2002;</w:t>
      </w:r>
    </w:p>
    <w:p w14:paraId="035E8CD5"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‘National GAAP’: nationally generally accepted accounting principles developed under Directive 86/635/EEC;</w:t>
      </w:r>
    </w:p>
    <w:p w14:paraId="5D4D748F"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‘NACE codes’: codes in Regulation (EC) No 1893/2006 of the European Parliament and of the Council</w:t>
      </w:r>
      <w:r w:rsidRPr="00DA7242">
        <w:rPr>
          <w:rStyle w:val="FootnoteReference"/>
          <w:rFonts w:ascii="Arial" w:hAnsi="Arial" w:cs="Arial"/>
          <w:sz w:val="20"/>
          <w:szCs w:val="20"/>
        </w:rPr>
        <w:footnoteReference w:id="6"/>
      </w:r>
      <w:r w:rsidRPr="00DA7242">
        <w:rPr>
          <w:rFonts w:ascii="Arial" w:hAnsi="Arial" w:cs="Arial"/>
          <w:sz w:val="20"/>
          <w:szCs w:val="20"/>
        </w:rPr>
        <w:t xml:space="preserve">; </w:t>
      </w:r>
    </w:p>
    <w:p w14:paraId="7F7D8017"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eastAsia="Arial" w:hAnsi="Arial" w:cs="Arial"/>
          <w:sz w:val="20"/>
          <w:szCs w:val="20"/>
          <w:lang w:eastAsia="x-none"/>
        </w:rPr>
        <w:t xml:space="preserve">‘EBA Guidelines on moratoria’: EBA Guidelines on legislative and non-legislative moratoria on loan repayments applied in light of the </w:t>
      </w:r>
      <w:r w:rsidR="00383BDC" w:rsidRPr="00DA7242">
        <w:rPr>
          <w:rFonts w:ascii="Arial" w:eastAsia="Arial" w:hAnsi="Arial" w:cs="Arial"/>
          <w:sz w:val="20"/>
          <w:szCs w:val="20"/>
          <w:lang w:eastAsia="x-none"/>
        </w:rPr>
        <w:t>COVID-19</w:t>
      </w:r>
      <w:r w:rsidRPr="00DA7242">
        <w:rPr>
          <w:rFonts w:ascii="Arial" w:eastAsia="Arial" w:hAnsi="Arial" w:cs="Arial"/>
          <w:sz w:val="20"/>
          <w:szCs w:val="20"/>
          <w:lang w:eastAsia="x-none"/>
        </w:rPr>
        <w:t xml:space="preserve"> crisis</w:t>
      </w:r>
      <w:r w:rsidRPr="00DA7242">
        <w:rPr>
          <w:rFonts w:ascii="Arial" w:eastAsia="Arial" w:hAnsi="Arial" w:cs="Arial"/>
          <w:sz w:val="20"/>
          <w:szCs w:val="20"/>
          <w:vertAlign w:val="superscript"/>
          <w:lang w:eastAsia="x-none"/>
        </w:rPr>
        <w:footnoteReference w:id="7"/>
      </w:r>
      <w:r w:rsidRPr="00DA7242">
        <w:rPr>
          <w:rFonts w:ascii="Arial" w:eastAsia="Arial" w:hAnsi="Arial" w:cs="Arial"/>
          <w:sz w:val="20"/>
          <w:szCs w:val="20"/>
          <w:lang w:eastAsia="x-none"/>
        </w:rPr>
        <w:t>;</w:t>
      </w:r>
    </w:p>
    <w:p w14:paraId="222268EC" w14:textId="123939A7" w:rsidR="00CA6391" w:rsidRPr="005E2CF8" w:rsidRDefault="00A3747E" w:rsidP="005E2CF8">
      <w:pPr>
        <w:pStyle w:val="InstructionsText2"/>
        <w:numPr>
          <w:ilvl w:val="0"/>
          <w:numId w:val="15"/>
        </w:numPr>
        <w:ind w:left="993"/>
        <w:rPr>
          <w:rFonts w:ascii="Arial" w:hAnsi="Arial" w:cs="Arial"/>
          <w:sz w:val="20"/>
          <w:szCs w:val="20"/>
        </w:rPr>
      </w:pPr>
      <w:r w:rsidRPr="00DA7242">
        <w:rPr>
          <w:rFonts w:ascii="Arial" w:hAnsi="Arial" w:cs="Arial"/>
          <w:sz w:val="20"/>
          <w:szCs w:val="20"/>
        </w:rPr>
        <w:t>‘ITS’: Implementing Regulation (EU) No 680/2014</w:t>
      </w:r>
      <w:r w:rsidRPr="00DA7242">
        <w:rPr>
          <w:rFonts w:ascii="Arial" w:eastAsia="Arial" w:hAnsi="Arial" w:cs="Arial"/>
          <w:sz w:val="20"/>
          <w:szCs w:val="20"/>
          <w:vertAlign w:val="superscript"/>
          <w:lang w:eastAsia="x-none"/>
        </w:rPr>
        <w:footnoteReference w:id="8"/>
      </w:r>
      <w:r w:rsidRPr="00DA7242">
        <w:rPr>
          <w:rFonts w:ascii="Arial" w:hAnsi="Arial" w:cs="Arial"/>
          <w:sz w:val="20"/>
          <w:szCs w:val="20"/>
        </w:rPr>
        <w:t>.</w:t>
      </w:r>
    </w:p>
    <w:p w14:paraId="218913D3" w14:textId="28D949DF" w:rsidR="005E2CF8" w:rsidRDefault="0091570E" w:rsidP="005E2CF8">
      <w:pPr>
        <w:pStyle w:val="ListParagraph"/>
        <w:ind w:left="0"/>
        <w:jc w:val="center"/>
        <w:rPr>
          <w:rFonts w:ascii="Arial" w:hAnsi="Arial" w:cs="Arial"/>
          <w:b/>
          <w:sz w:val="20"/>
          <w:szCs w:val="20"/>
        </w:rPr>
      </w:pPr>
      <w:r>
        <w:rPr>
          <w:rFonts w:ascii="Arial" w:hAnsi="Arial" w:cs="Arial"/>
          <w:b/>
          <w:sz w:val="20"/>
          <w:szCs w:val="20"/>
        </w:rPr>
        <w:t>Summary Differences between reporting package versions</w:t>
      </w:r>
    </w:p>
    <w:p w14:paraId="32F3A73C" w14:textId="77777777" w:rsidR="005E2CF8" w:rsidRPr="005E2CF8" w:rsidRDefault="005E2CF8" w:rsidP="005E2CF8">
      <w:pPr>
        <w:pStyle w:val="ListParagraph"/>
        <w:ind w:left="0"/>
        <w:jc w:val="center"/>
        <w:rPr>
          <w:rFonts w:ascii="Arial" w:hAnsi="Arial" w:cs="Arial"/>
          <w:b/>
          <w:sz w:val="20"/>
          <w:szCs w:val="20"/>
        </w:rPr>
      </w:pPr>
    </w:p>
    <w:tbl>
      <w:tblPr>
        <w:tblStyle w:val="TableGrid"/>
        <w:tblW w:w="0" w:type="auto"/>
        <w:tblLook w:val="04A0" w:firstRow="1" w:lastRow="0" w:firstColumn="1" w:lastColumn="0" w:noHBand="0" w:noVBand="1"/>
      </w:tblPr>
      <w:tblGrid>
        <w:gridCol w:w="1320"/>
        <w:gridCol w:w="1320"/>
        <w:gridCol w:w="4272"/>
        <w:gridCol w:w="2268"/>
      </w:tblGrid>
      <w:tr w:rsidR="0091570E" w14:paraId="4788CBC1" w14:textId="77777777" w:rsidTr="000B3664">
        <w:trPr>
          <w:trHeight w:val="479"/>
        </w:trPr>
        <w:tc>
          <w:tcPr>
            <w:tcW w:w="1320" w:type="dxa"/>
            <w:shd w:val="clear" w:color="auto" w:fill="A6A6A6" w:themeFill="background1" w:themeFillShade="A6"/>
            <w:vAlign w:val="center"/>
          </w:tcPr>
          <w:p w14:paraId="6D74A249" w14:textId="410B7838"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Version</w:t>
            </w:r>
          </w:p>
        </w:tc>
        <w:tc>
          <w:tcPr>
            <w:tcW w:w="1320" w:type="dxa"/>
            <w:shd w:val="clear" w:color="auto" w:fill="A6A6A6" w:themeFill="background1" w:themeFillShade="A6"/>
            <w:vAlign w:val="center"/>
          </w:tcPr>
          <w:p w14:paraId="2E82BECF" w14:textId="700FD2CF"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Topic</w:t>
            </w:r>
          </w:p>
        </w:tc>
        <w:tc>
          <w:tcPr>
            <w:tcW w:w="4272" w:type="dxa"/>
            <w:shd w:val="clear" w:color="auto" w:fill="A6A6A6" w:themeFill="background1" w:themeFillShade="A6"/>
            <w:vAlign w:val="center"/>
          </w:tcPr>
          <w:p w14:paraId="68DEE171" w14:textId="2A174091"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Summary of Changes</w:t>
            </w:r>
          </w:p>
        </w:tc>
        <w:tc>
          <w:tcPr>
            <w:tcW w:w="2268" w:type="dxa"/>
            <w:shd w:val="clear" w:color="auto" w:fill="A6A6A6" w:themeFill="background1" w:themeFillShade="A6"/>
            <w:vAlign w:val="center"/>
          </w:tcPr>
          <w:p w14:paraId="497B8883" w14:textId="5914CDC5"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Release Date</w:t>
            </w:r>
          </w:p>
        </w:tc>
      </w:tr>
      <w:tr w:rsidR="0091570E" w14:paraId="76BDFDB9" w14:textId="77777777" w:rsidTr="000B3664">
        <w:tc>
          <w:tcPr>
            <w:tcW w:w="1320" w:type="dxa"/>
            <w:vAlign w:val="center"/>
          </w:tcPr>
          <w:p w14:paraId="65FD7ECE" w14:textId="237A1DA1" w:rsidR="0091570E" w:rsidRPr="000B3664" w:rsidRDefault="0091570E" w:rsidP="000B3664">
            <w:pPr>
              <w:pStyle w:val="ListParagraph"/>
              <w:ind w:left="0"/>
              <w:jc w:val="center"/>
              <w:rPr>
                <w:rFonts w:ascii="Arial" w:hAnsi="Arial" w:cs="Arial"/>
                <w:sz w:val="18"/>
                <w:szCs w:val="18"/>
              </w:rPr>
            </w:pPr>
            <w:r w:rsidRPr="000B3664">
              <w:rPr>
                <w:rFonts w:ascii="Arial" w:hAnsi="Arial" w:cs="Arial"/>
                <w:sz w:val="18"/>
                <w:szCs w:val="18"/>
              </w:rPr>
              <w:t>1.0</w:t>
            </w:r>
          </w:p>
        </w:tc>
        <w:tc>
          <w:tcPr>
            <w:tcW w:w="1320" w:type="dxa"/>
            <w:vAlign w:val="center"/>
          </w:tcPr>
          <w:p w14:paraId="48F6A0EB" w14:textId="02C2C4E6" w:rsidR="0091570E" w:rsidRPr="000B3664" w:rsidRDefault="0013304F" w:rsidP="000B3664">
            <w:pPr>
              <w:pStyle w:val="ListParagraph"/>
              <w:ind w:left="0"/>
              <w:jc w:val="center"/>
              <w:rPr>
                <w:rFonts w:ascii="Arial" w:hAnsi="Arial" w:cs="Arial"/>
                <w:sz w:val="18"/>
                <w:szCs w:val="18"/>
              </w:rPr>
            </w:pPr>
            <w:proofErr w:type="spellStart"/>
            <w:r w:rsidRPr="000B3664">
              <w:rPr>
                <w:rFonts w:ascii="Arial" w:hAnsi="Arial" w:cs="Arial"/>
                <w:sz w:val="18"/>
                <w:szCs w:val="18"/>
              </w:rPr>
              <w:t>n.a</w:t>
            </w:r>
            <w:proofErr w:type="spellEnd"/>
            <w:r w:rsidRPr="000B3664">
              <w:rPr>
                <w:rFonts w:ascii="Arial" w:hAnsi="Arial" w:cs="Arial"/>
                <w:sz w:val="18"/>
                <w:szCs w:val="18"/>
              </w:rPr>
              <w:t>.</w:t>
            </w:r>
          </w:p>
        </w:tc>
        <w:tc>
          <w:tcPr>
            <w:tcW w:w="4272" w:type="dxa"/>
          </w:tcPr>
          <w:p w14:paraId="3888296B" w14:textId="05086002" w:rsidR="0091570E" w:rsidRPr="000B3664" w:rsidRDefault="0013304F" w:rsidP="00CA6391">
            <w:pPr>
              <w:pStyle w:val="ListParagraph"/>
              <w:ind w:left="0"/>
              <w:jc w:val="both"/>
              <w:rPr>
                <w:rFonts w:ascii="Arial" w:hAnsi="Arial" w:cs="Arial"/>
                <w:sz w:val="18"/>
                <w:szCs w:val="18"/>
              </w:rPr>
            </w:pPr>
            <w:proofErr w:type="spellStart"/>
            <w:r w:rsidRPr="000B3664">
              <w:rPr>
                <w:rFonts w:ascii="Arial" w:hAnsi="Arial" w:cs="Arial"/>
                <w:sz w:val="18"/>
                <w:szCs w:val="18"/>
              </w:rPr>
              <w:t>n.a</w:t>
            </w:r>
            <w:proofErr w:type="spellEnd"/>
            <w:r w:rsidRPr="000B3664">
              <w:rPr>
                <w:rFonts w:ascii="Arial" w:hAnsi="Arial" w:cs="Arial"/>
                <w:sz w:val="18"/>
                <w:szCs w:val="18"/>
              </w:rPr>
              <w:t>.</w:t>
            </w:r>
          </w:p>
        </w:tc>
        <w:tc>
          <w:tcPr>
            <w:tcW w:w="2268" w:type="dxa"/>
            <w:vAlign w:val="center"/>
          </w:tcPr>
          <w:p w14:paraId="5AA9C3BD" w14:textId="1ECF7B3D" w:rsidR="0091570E" w:rsidRPr="000B3664" w:rsidRDefault="0091570E" w:rsidP="000B3664">
            <w:pPr>
              <w:pStyle w:val="ListParagraph"/>
              <w:ind w:left="0"/>
              <w:jc w:val="center"/>
              <w:rPr>
                <w:rFonts w:ascii="Arial" w:hAnsi="Arial" w:cs="Arial"/>
                <w:sz w:val="18"/>
                <w:szCs w:val="18"/>
              </w:rPr>
            </w:pPr>
            <w:r w:rsidRPr="000B3664">
              <w:rPr>
                <w:rFonts w:ascii="Arial" w:hAnsi="Arial" w:cs="Arial"/>
                <w:sz w:val="18"/>
                <w:szCs w:val="18"/>
              </w:rPr>
              <w:t>02/06/2020</w:t>
            </w:r>
          </w:p>
        </w:tc>
      </w:tr>
      <w:tr w:rsidR="005E2CF8" w14:paraId="33BC63EE" w14:textId="77777777" w:rsidTr="006A5FCD">
        <w:tc>
          <w:tcPr>
            <w:tcW w:w="1320" w:type="dxa"/>
            <w:vMerge w:val="restart"/>
            <w:vAlign w:val="center"/>
          </w:tcPr>
          <w:p w14:paraId="71BBA674" w14:textId="0A493E89" w:rsidR="005E2CF8" w:rsidRPr="000B3664" w:rsidRDefault="005E2CF8" w:rsidP="000B3664">
            <w:pPr>
              <w:pStyle w:val="ListParagraph"/>
              <w:ind w:left="0"/>
              <w:jc w:val="center"/>
              <w:rPr>
                <w:rFonts w:ascii="Arial" w:hAnsi="Arial" w:cs="Arial"/>
                <w:sz w:val="18"/>
                <w:szCs w:val="18"/>
              </w:rPr>
            </w:pPr>
            <w:r w:rsidRPr="000B3664">
              <w:rPr>
                <w:rFonts w:ascii="Arial" w:hAnsi="Arial" w:cs="Arial"/>
                <w:sz w:val="18"/>
                <w:szCs w:val="18"/>
              </w:rPr>
              <w:t>1.1</w:t>
            </w:r>
          </w:p>
        </w:tc>
        <w:tc>
          <w:tcPr>
            <w:tcW w:w="1320" w:type="dxa"/>
            <w:vMerge w:val="restart"/>
            <w:vAlign w:val="center"/>
          </w:tcPr>
          <w:p w14:paraId="46EDA0E8" w14:textId="36F0B230" w:rsidR="005E2CF8" w:rsidRPr="000B3664" w:rsidRDefault="005E2CF8" w:rsidP="000B3664">
            <w:pPr>
              <w:pStyle w:val="ListParagraph"/>
              <w:ind w:left="0"/>
              <w:jc w:val="center"/>
              <w:rPr>
                <w:rFonts w:ascii="Arial" w:hAnsi="Arial" w:cs="Arial"/>
                <w:sz w:val="18"/>
                <w:szCs w:val="18"/>
              </w:rPr>
            </w:pPr>
            <w:r w:rsidRPr="000B3664">
              <w:rPr>
                <w:rFonts w:ascii="Arial" w:hAnsi="Arial" w:cs="Arial"/>
                <w:sz w:val="18"/>
                <w:szCs w:val="18"/>
              </w:rPr>
              <w:t>Overarching</w:t>
            </w:r>
          </w:p>
        </w:tc>
        <w:tc>
          <w:tcPr>
            <w:tcW w:w="4272" w:type="dxa"/>
          </w:tcPr>
          <w:p w14:paraId="2542CC5C" w14:textId="23B2289B" w:rsidR="005E2CF8" w:rsidRPr="000B3664" w:rsidRDefault="005E2CF8" w:rsidP="00CA6391">
            <w:pPr>
              <w:pStyle w:val="ListParagraph"/>
              <w:ind w:left="0"/>
              <w:jc w:val="both"/>
              <w:rPr>
                <w:rFonts w:ascii="Arial" w:hAnsi="Arial" w:cs="Arial"/>
                <w:sz w:val="18"/>
                <w:szCs w:val="18"/>
              </w:rPr>
            </w:pPr>
            <w:r w:rsidRPr="000B3664">
              <w:rPr>
                <w:rFonts w:ascii="Arial" w:hAnsi="Arial" w:cs="Arial"/>
                <w:sz w:val="18"/>
                <w:szCs w:val="18"/>
              </w:rPr>
              <w:t xml:space="preserve">Formula in Table 1.4 cell E49 changed to: E47-E48 </w:t>
            </w:r>
          </w:p>
        </w:tc>
        <w:tc>
          <w:tcPr>
            <w:tcW w:w="2268" w:type="dxa"/>
            <w:vMerge w:val="restart"/>
            <w:shd w:val="clear" w:color="auto" w:fill="auto"/>
            <w:vAlign w:val="center"/>
          </w:tcPr>
          <w:p w14:paraId="0EA6A45D" w14:textId="7B76E5C8" w:rsidR="005E2CF8" w:rsidRPr="000B3664" w:rsidRDefault="005E2CF8" w:rsidP="000B3664">
            <w:pPr>
              <w:pStyle w:val="ListParagraph"/>
              <w:ind w:left="0"/>
              <w:jc w:val="center"/>
              <w:rPr>
                <w:rFonts w:ascii="Arial" w:hAnsi="Arial" w:cs="Arial"/>
                <w:sz w:val="18"/>
                <w:szCs w:val="18"/>
              </w:rPr>
            </w:pPr>
            <w:r w:rsidRPr="006A5FCD">
              <w:rPr>
                <w:rFonts w:ascii="Arial" w:hAnsi="Arial" w:cs="Arial"/>
                <w:sz w:val="18"/>
                <w:szCs w:val="18"/>
              </w:rPr>
              <w:t>19/06/2020</w:t>
            </w:r>
          </w:p>
        </w:tc>
      </w:tr>
      <w:tr w:rsidR="005E2CF8" w14:paraId="045A9EF3" w14:textId="77777777" w:rsidTr="006A5FCD">
        <w:tc>
          <w:tcPr>
            <w:tcW w:w="1320" w:type="dxa"/>
            <w:vMerge/>
            <w:vAlign w:val="center"/>
          </w:tcPr>
          <w:p w14:paraId="5D52669E"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3D37AE57" w14:textId="77777777" w:rsidR="005E2CF8" w:rsidRPr="000B3664" w:rsidRDefault="005E2CF8" w:rsidP="000B3664">
            <w:pPr>
              <w:pStyle w:val="ListParagraph"/>
              <w:ind w:left="0"/>
              <w:jc w:val="center"/>
              <w:rPr>
                <w:rFonts w:ascii="Arial" w:hAnsi="Arial" w:cs="Arial"/>
                <w:sz w:val="18"/>
                <w:szCs w:val="18"/>
              </w:rPr>
            </w:pPr>
          </w:p>
        </w:tc>
        <w:tc>
          <w:tcPr>
            <w:tcW w:w="4272" w:type="dxa"/>
          </w:tcPr>
          <w:p w14:paraId="1C280B83" w14:textId="659A2327" w:rsidR="005E2CF8" w:rsidRPr="000B3664" w:rsidRDefault="005E2CF8" w:rsidP="00CA6391">
            <w:pPr>
              <w:pStyle w:val="ListParagraph"/>
              <w:ind w:left="0"/>
              <w:jc w:val="both"/>
              <w:rPr>
                <w:rFonts w:ascii="Arial" w:hAnsi="Arial" w:cs="Arial"/>
                <w:sz w:val="18"/>
                <w:szCs w:val="18"/>
              </w:rPr>
            </w:pPr>
            <w:r w:rsidRPr="00677C02">
              <w:rPr>
                <w:rFonts w:ascii="Arial" w:hAnsi="Arial" w:cs="Arial"/>
                <w:sz w:val="18"/>
                <w:szCs w:val="18"/>
              </w:rPr>
              <w:t>Names in Table 1.4 rows 0110, 0120 and 0130 amended and included between “()”</w:t>
            </w:r>
          </w:p>
        </w:tc>
        <w:tc>
          <w:tcPr>
            <w:tcW w:w="2268" w:type="dxa"/>
            <w:vMerge/>
            <w:shd w:val="clear" w:color="auto" w:fill="auto"/>
            <w:vAlign w:val="center"/>
          </w:tcPr>
          <w:p w14:paraId="474E5424" w14:textId="77777777" w:rsidR="005E2CF8" w:rsidRPr="000B3664" w:rsidRDefault="005E2CF8" w:rsidP="000B3664">
            <w:pPr>
              <w:pStyle w:val="ListParagraph"/>
              <w:ind w:left="0"/>
              <w:jc w:val="center"/>
              <w:rPr>
                <w:rFonts w:ascii="Arial" w:hAnsi="Arial" w:cs="Arial"/>
                <w:sz w:val="18"/>
                <w:szCs w:val="18"/>
              </w:rPr>
            </w:pPr>
          </w:p>
        </w:tc>
      </w:tr>
      <w:tr w:rsidR="005E2CF8" w14:paraId="10CB8CE2" w14:textId="77777777" w:rsidTr="006A5FCD">
        <w:tc>
          <w:tcPr>
            <w:tcW w:w="1320" w:type="dxa"/>
            <w:vMerge/>
            <w:vAlign w:val="center"/>
          </w:tcPr>
          <w:p w14:paraId="07B09823"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1CC9385B" w14:textId="77777777" w:rsidR="005E2CF8" w:rsidRPr="000B3664" w:rsidRDefault="005E2CF8" w:rsidP="000B3664">
            <w:pPr>
              <w:pStyle w:val="ListParagraph"/>
              <w:ind w:left="0"/>
              <w:jc w:val="center"/>
              <w:rPr>
                <w:rFonts w:ascii="Arial" w:hAnsi="Arial" w:cs="Arial"/>
                <w:sz w:val="18"/>
                <w:szCs w:val="18"/>
              </w:rPr>
            </w:pPr>
          </w:p>
        </w:tc>
        <w:tc>
          <w:tcPr>
            <w:tcW w:w="4272" w:type="dxa"/>
          </w:tcPr>
          <w:p w14:paraId="6E83B307" w14:textId="2871CBC9" w:rsidR="005E2CF8" w:rsidRPr="000B3664" w:rsidRDefault="005E2CF8" w:rsidP="00CA6391">
            <w:pPr>
              <w:pStyle w:val="ListParagraph"/>
              <w:ind w:left="0"/>
              <w:jc w:val="both"/>
              <w:rPr>
                <w:rFonts w:ascii="Arial" w:hAnsi="Arial" w:cs="Arial"/>
                <w:sz w:val="18"/>
                <w:szCs w:val="18"/>
              </w:rPr>
            </w:pPr>
            <w:r w:rsidRPr="00677C02">
              <w:rPr>
                <w:rFonts w:ascii="Arial" w:hAnsi="Arial" w:cs="Arial"/>
                <w:sz w:val="18"/>
                <w:szCs w:val="18"/>
              </w:rPr>
              <w:t>Removed reference to ITS F02.00;r290c010 from Table 1.4 row 0080</w:t>
            </w:r>
          </w:p>
        </w:tc>
        <w:tc>
          <w:tcPr>
            <w:tcW w:w="2268" w:type="dxa"/>
            <w:vMerge/>
            <w:shd w:val="clear" w:color="auto" w:fill="auto"/>
            <w:vAlign w:val="center"/>
          </w:tcPr>
          <w:p w14:paraId="4D7807AE" w14:textId="77777777" w:rsidR="005E2CF8" w:rsidRPr="000B3664" w:rsidRDefault="005E2CF8" w:rsidP="000B3664">
            <w:pPr>
              <w:pStyle w:val="ListParagraph"/>
              <w:ind w:left="0"/>
              <w:jc w:val="center"/>
              <w:rPr>
                <w:rFonts w:ascii="Arial" w:hAnsi="Arial" w:cs="Arial"/>
                <w:sz w:val="18"/>
                <w:szCs w:val="18"/>
              </w:rPr>
            </w:pPr>
          </w:p>
        </w:tc>
      </w:tr>
      <w:tr w:rsidR="005E2CF8" w14:paraId="31D9231D" w14:textId="77777777" w:rsidTr="006A5FCD">
        <w:tc>
          <w:tcPr>
            <w:tcW w:w="1320" w:type="dxa"/>
            <w:vMerge/>
            <w:vAlign w:val="center"/>
          </w:tcPr>
          <w:p w14:paraId="70FA1F9A" w14:textId="77777777" w:rsidR="005E2CF8" w:rsidRPr="00677C02" w:rsidRDefault="005E2CF8">
            <w:pPr>
              <w:pStyle w:val="ListParagraph"/>
              <w:ind w:left="0"/>
              <w:jc w:val="center"/>
              <w:rPr>
                <w:rFonts w:ascii="Arial" w:hAnsi="Arial" w:cs="Arial"/>
                <w:sz w:val="18"/>
                <w:szCs w:val="18"/>
              </w:rPr>
            </w:pPr>
          </w:p>
        </w:tc>
        <w:tc>
          <w:tcPr>
            <w:tcW w:w="1320" w:type="dxa"/>
            <w:vMerge/>
            <w:vAlign w:val="center"/>
          </w:tcPr>
          <w:p w14:paraId="469B4910" w14:textId="77777777" w:rsidR="005E2CF8" w:rsidRPr="00677C02" w:rsidRDefault="005E2CF8">
            <w:pPr>
              <w:pStyle w:val="ListParagraph"/>
              <w:ind w:left="0"/>
              <w:jc w:val="center"/>
              <w:rPr>
                <w:rFonts w:ascii="Arial" w:hAnsi="Arial" w:cs="Arial"/>
                <w:sz w:val="18"/>
                <w:szCs w:val="18"/>
              </w:rPr>
            </w:pPr>
          </w:p>
        </w:tc>
        <w:tc>
          <w:tcPr>
            <w:tcW w:w="4272" w:type="dxa"/>
          </w:tcPr>
          <w:p w14:paraId="4E4EB6DD" w14:textId="71F1E2DA" w:rsidR="005E2CF8" w:rsidRPr="00677C02" w:rsidRDefault="005E2CF8" w:rsidP="00CA6391">
            <w:pPr>
              <w:pStyle w:val="ListParagraph"/>
              <w:ind w:left="0"/>
              <w:jc w:val="both"/>
              <w:rPr>
                <w:rFonts w:ascii="Arial" w:hAnsi="Arial" w:cs="Arial"/>
                <w:sz w:val="18"/>
                <w:szCs w:val="18"/>
              </w:rPr>
            </w:pPr>
            <w:r w:rsidRPr="00677C02">
              <w:rPr>
                <w:rFonts w:ascii="Arial" w:hAnsi="Arial" w:cs="Arial"/>
                <w:sz w:val="18"/>
                <w:szCs w:val="18"/>
              </w:rPr>
              <w:t>Include</w:t>
            </w:r>
            <w:r>
              <w:rPr>
                <w:rFonts w:ascii="Arial" w:hAnsi="Arial" w:cs="Arial"/>
                <w:sz w:val="18"/>
                <w:szCs w:val="18"/>
              </w:rPr>
              <w:t>d</w:t>
            </w:r>
            <w:r w:rsidRPr="00677C02">
              <w:rPr>
                <w:rFonts w:ascii="Arial" w:hAnsi="Arial" w:cs="Arial"/>
                <w:sz w:val="18"/>
                <w:szCs w:val="18"/>
              </w:rPr>
              <w:t xml:space="preserve"> reference to ITS F01.01r110c010 in Table 1.1 row 0080</w:t>
            </w:r>
          </w:p>
        </w:tc>
        <w:tc>
          <w:tcPr>
            <w:tcW w:w="2268" w:type="dxa"/>
            <w:vMerge/>
            <w:shd w:val="clear" w:color="auto" w:fill="auto"/>
            <w:vAlign w:val="center"/>
          </w:tcPr>
          <w:p w14:paraId="3CCA2423" w14:textId="77777777" w:rsidR="005E2CF8" w:rsidRPr="0013304F" w:rsidRDefault="005E2CF8">
            <w:pPr>
              <w:pStyle w:val="ListParagraph"/>
              <w:ind w:left="0"/>
              <w:jc w:val="center"/>
              <w:rPr>
                <w:rFonts w:ascii="Arial" w:hAnsi="Arial" w:cs="Arial"/>
                <w:sz w:val="18"/>
                <w:szCs w:val="18"/>
              </w:rPr>
            </w:pPr>
          </w:p>
        </w:tc>
      </w:tr>
      <w:tr w:rsidR="005E2CF8" w14:paraId="0B31EE81" w14:textId="77777777" w:rsidTr="006A5FCD">
        <w:tc>
          <w:tcPr>
            <w:tcW w:w="1320" w:type="dxa"/>
            <w:vMerge/>
            <w:vAlign w:val="center"/>
          </w:tcPr>
          <w:p w14:paraId="0B72CBEF" w14:textId="77777777" w:rsidR="005E2CF8" w:rsidRPr="000B3664" w:rsidRDefault="005E2CF8" w:rsidP="000B3664">
            <w:pPr>
              <w:pStyle w:val="ListParagraph"/>
              <w:ind w:left="0"/>
              <w:jc w:val="center"/>
              <w:rPr>
                <w:rFonts w:ascii="Arial" w:hAnsi="Arial" w:cs="Arial"/>
                <w:sz w:val="18"/>
                <w:szCs w:val="18"/>
              </w:rPr>
            </w:pPr>
          </w:p>
        </w:tc>
        <w:tc>
          <w:tcPr>
            <w:tcW w:w="1320" w:type="dxa"/>
            <w:vMerge w:val="restart"/>
            <w:vAlign w:val="center"/>
          </w:tcPr>
          <w:p w14:paraId="4E0658E1" w14:textId="2151E190" w:rsidR="005E2CF8" w:rsidRPr="000A0844" w:rsidRDefault="005E2CF8" w:rsidP="000B3664">
            <w:pPr>
              <w:pStyle w:val="ListParagraph"/>
              <w:ind w:left="0"/>
              <w:jc w:val="center"/>
              <w:rPr>
                <w:rFonts w:ascii="Arial" w:hAnsi="Arial" w:cs="Arial"/>
                <w:sz w:val="18"/>
                <w:szCs w:val="18"/>
              </w:rPr>
            </w:pPr>
            <w:r w:rsidRPr="0013304F">
              <w:rPr>
                <w:rFonts w:ascii="Arial" w:hAnsi="Arial" w:cs="Arial"/>
                <w:sz w:val="18"/>
                <w:szCs w:val="18"/>
              </w:rPr>
              <w:t>Market Risk</w:t>
            </w:r>
          </w:p>
        </w:tc>
        <w:tc>
          <w:tcPr>
            <w:tcW w:w="4272" w:type="dxa"/>
          </w:tcPr>
          <w:p w14:paraId="648C8D66" w14:textId="6D295485" w:rsidR="005E2CF8" w:rsidRPr="000A0844" w:rsidRDefault="005E2CF8" w:rsidP="001E6E27">
            <w:pPr>
              <w:pStyle w:val="ListParagraph"/>
              <w:ind w:left="0"/>
              <w:jc w:val="both"/>
              <w:rPr>
                <w:rFonts w:ascii="Arial" w:hAnsi="Arial" w:cs="Arial"/>
                <w:sz w:val="18"/>
                <w:szCs w:val="18"/>
              </w:rPr>
            </w:pPr>
            <w:r>
              <w:rPr>
                <w:rFonts w:ascii="Arial" w:hAnsi="Arial" w:cs="Arial"/>
                <w:sz w:val="18"/>
                <w:szCs w:val="18"/>
              </w:rPr>
              <w:t>The following coordinates in table 6.2 have been greyed out: r120c0020, r130c0020, r130c0030</w:t>
            </w:r>
          </w:p>
        </w:tc>
        <w:tc>
          <w:tcPr>
            <w:tcW w:w="2268" w:type="dxa"/>
            <w:vMerge/>
            <w:shd w:val="clear" w:color="auto" w:fill="auto"/>
            <w:vAlign w:val="center"/>
          </w:tcPr>
          <w:p w14:paraId="7F195DD7" w14:textId="77777777" w:rsidR="005E2CF8" w:rsidRPr="000A0844" w:rsidRDefault="005E2CF8" w:rsidP="000B3664">
            <w:pPr>
              <w:pStyle w:val="ListParagraph"/>
              <w:ind w:left="0"/>
              <w:jc w:val="center"/>
              <w:rPr>
                <w:rFonts w:ascii="Arial" w:hAnsi="Arial" w:cs="Arial"/>
                <w:sz w:val="18"/>
                <w:szCs w:val="18"/>
              </w:rPr>
            </w:pPr>
          </w:p>
        </w:tc>
      </w:tr>
      <w:tr w:rsidR="005E2CF8" w14:paraId="5D874F1F" w14:textId="77777777" w:rsidTr="006A5FCD">
        <w:tc>
          <w:tcPr>
            <w:tcW w:w="1320" w:type="dxa"/>
            <w:vMerge/>
            <w:vAlign w:val="center"/>
          </w:tcPr>
          <w:p w14:paraId="469FEC3F"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003719C3" w14:textId="77777777" w:rsidR="005E2CF8" w:rsidRPr="0013304F" w:rsidRDefault="005E2CF8" w:rsidP="000B3664">
            <w:pPr>
              <w:pStyle w:val="ListParagraph"/>
              <w:ind w:left="0"/>
              <w:jc w:val="center"/>
              <w:rPr>
                <w:rFonts w:ascii="Arial" w:hAnsi="Arial" w:cs="Arial"/>
                <w:sz w:val="18"/>
                <w:szCs w:val="18"/>
              </w:rPr>
            </w:pPr>
          </w:p>
        </w:tc>
        <w:tc>
          <w:tcPr>
            <w:tcW w:w="4272" w:type="dxa"/>
          </w:tcPr>
          <w:p w14:paraId="5CE3FE64" w14:textId="6D00AFA3" w:rsidR="005E2CF8" w:rsidRDefault="005E2CF8" w:rsidP="00BF6DFF">
            <w:pPr>
              <w:pStyle w:val="ListParagraph"/>
              <w:ind w:left="0"/>
              <w:jc w:val="both"/>
              <w:rPr>
                <w:rFonts w:ascii="Arial" w:hAnsi="Arial" w:cs="Arial"/>
                <w:sz w:val="18"/>
                <w:szCs w:val="18"/>
              </w:rPr>
            </w:pPr>
            <w:r>
              <w:rPr>
                <w:rFonts w:ascii="Arial" w:hAnsi="Arial" w:cs="Arial"/>
                <w:sz w:val="18"/>
                <w:szCs w:val="18"/>
              </w:rPr>
              <w:t xml:space="preserve">Removed reference to “OTC” in table 6.5 column </w:t>
            </w:r>
            <w:r>
              <w:rPr>
                <w:rFonts w:ascii="Arial" w:hAnsi="Arial" w:cs="Arial"/>
                <w:sz w:val="18"/>
                <w:szCs w:val="18"/>
              </w:rPr>
              <w:lastRenderedPageBreak/>
              <w:t xml:space="preserve">40 and table 6.6 column 50 </w:t>
            </w:r>
          </w:p>
        </w:tc>
        <w:tc>
          <w:tcPr>
            <w:tcW w:w="2268" w:type="dxa"/>
            <w:vMerge/>
            <w:shd w:val="clear" w:color="auto" w:fill="auto"/>
            <w:vAlign w:val="center"/>
          </w:tcPr>
          <w:p w14:paraId="31A33725" w14:textId="77777777" w:rsidR="005E2CF8" w:rsidRPr="000A0844" w:rsidRDefault="005E2CF8" w:rsidP="000B3664">
            <w:pPr>
              <w:pStyle w:val="ListParagraph"/>
              <w:ind w:left="0"/>
              <w:jc w:val="center"/>
              <w:rPr>
                <w:rFonts w:ascii="Arial" w:hAnsi="Arial" w:cs="Arial"/>
                <w:sz w:val="18"/>
                <w:szCs w:val="18"/>
              </w:rPr>
            </w:pPr>
          </w:p>
        </w:tc>
      </w:tr>
      <w:tr w:rsidR="005E2CF8" w14:paraId="0A58D0B0" w14:textId="77777777" w:rsidTr="006A5FCD">
        <w:tc>
          <w:tcPr>
            <w:tcW w:w="1320" w:type="dxa"/>
            <w:vMerge/>
            <w:vAlign w:val="center"/>
          </w:tcPr>
          <w:p w14:paraId="3B8F7F17"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0B0B6CA7" w14:textId="77777777" w:rsidR="005E2CF8" w:rsidRPr="0013304F" w:rsidRDefault="005E2CF8" w:rsidP="000B3664">
            <w:pPr>
              <w:pStyle w:val="ListParagraph"/>
              <w:ind w:left="0"/>
              <w:jc w:val="center"/>
              <w:rPr>
                <w:rFonts w:ascii="Arial" w:hAnsi="Arial" w:cs="Arial"/>
                <w:sz w:val="18"/>
                <w:szCs w:val="18"/>
              </w:rPr>
            </w:pPr>
          </w:p>
        </w:tc>
        <w:tc>
          <w:tcPr>
            <w:tcW w:w="4272" w:type="dxa"/>
          </w:tcPr>
          <w:p w14:paraId="5053E73B" w14:textId="168C6F46" w:rsidR="005E2CF8" w:rsidRDefault="005E2CF8" w:rsidP="00B725FE">
            <w:pPr>
              <w:pStyle w:val="ListParagraph"/>
              <w:ind w:left="0"/>
              <w:jc w:val="both"/>
              <w:rPr>
                <w:rFonts w:ascii="Arial" w:hAnsi="Arial" w:cs="Arial"/>
                <w:sz w:val="18"/>
                <w:szCs w:val="18"/>
              </w:rPr>
            </w:pPr>
            <w:r>
              <w:rPr>
                <w:rFonts w:ascii="Arial" w:hAnsi="Arial" w:cs="Arial"/>
                <w:sz w:val="18"/>
                <w:szCs w:val="18"/>
              </w:rPr>
              <w:t>Fixed typo in table 6.3 “</w:t>
            </w:r>
            <w:r>
              <w:t>Of which: CVA//FVA/XVA”</w:t>
            </w:r>
          </w:p>
        </w:tc>
        <w:tc>
          <w:tcPr>
            <w:tcW w:w="2268" w:type="dxa"/>
            <w:vMerge/>
            <w:shd w:val="clear" w:color="auto" w:fill="auto"/>
            <w:vAlign w:val="center"/>
          </w:tcPr>
          <w:p w14:paraId="3DDAB4D9" w14:textId="77777777" w:rsidR="005E2CF8" w:rsidRPr="000A0844" w:rsidRDefault="005E2CF8" w:rsidP="000B3664">
            <w:pPr>
              <w:pStyle w:val="ListParagraph"/>
              <w:ind w:left="0"/>
              <w:jc w:val="center"/>
              <w:rPr>
                <w:rFonts w:ascii="Arial" w:hAnsi="Arial" w:cs="Arial"/>
                <w:sz w:val="18"/>
                <w:szCs w:val="18"/>
              </w:rPr>
            </w:pPr>
          </w:p>
        </w:tc>
      </w:tr>
      <w:tr w:rsidR="00A36616" w14:paraId="5D69111B" w14:textId="77777777" w:rsidTr="006A5FCD">
        <w:tc>
          <w:tcPr>
            <w:tcW w:w="1320" w:type="dxa"/>
            <w:vMerge w:val="restart"/>
            <w:vAlign w:val="center"/>
          </w:tcPr>
          <w:p w14:paraId="34147CA8" w14:textId="2B244907" w:rsidR="00A36616" w:rsidRPr="000B3664" w:rsidRDefault="00A36616" w:rsidP="000B3664">
            <w:pPr>
              <w:pStyle w:val="ListParagraph"/>
              <w:ind w:left="0"/>
              <w:jc w:val="center"/>
              <w:rPr>
                <w:rFonts w:ascii="Arial" w:hAnsi="Arial" w:cs="Arial"/>
                <w:sz w:val="18"/>
                <w:szCs w:val="18"/>
              </w:rPr>
            </w:pPr>
            <w:r>
              <w:rPr>
                <w:rFonts w:ascii="Arial" w:hAnsi="Arial" w:cs="Arial"/>
                <w:sz w:val="18"/>
                <w:szCs w:val="18"/>
              </w:rPr>
              <w:t>1.2</w:t>
            </w:r>
          </w:p>
        </w:tc>
        <w:tc>
          <w:tcPr>
            <w:tcW w:w="1320" w:type="dxa"/>
            <w:vAlign w:val="center"/>
          </w:tcPr>
          <w:p w14:paraId="10FF06BC" w14:textId="4FC65E67" w:rsidR="00A36616" w:rsidRPr="0013304F" w:rsidRDefault="00A36616" w:rsidP="000B3664">
            <w:pPr>
              <w:pStyle w:val="ListParagraph"/>
              <w:ind w:left="0"/>
              <w:jc w:val="center"/>
              <w:rPr>
                <w:rFonts w:ascii="Arial" w:hAnsi="Arial" w:cs="Arial"/>
                <w:sz w:val="18"/>
                <w:szCs w:val="18"/>
              </w:rPr>
            </w:pPr>
            <w:r>
              <w:rPr>
                <w:rFonts w:ascii="Arial" w:hAnsi="Arial" w:cs="Arial"/>
                <w:sz w:val="18"/>
                <w:szCs w:val="18"/>
              </w:rPr>
              <w:t>Overarching</w:t>
            </w:r>
          </w:p>
        </w:tc>
        <w:tc>
          <w:tcPr>
            <w:tcW w:w="4272" w:type="dxa"/>
          </w:tcPr>
          <w:p w14:paraId="22B21BA3" w14:textId="204012DC" w:rsidR="00A36616" w:rsidRDefault="00A36616" w:rsidP="00B725FE">
            <w:pPr>
              <w:pStyle w:val="ListParagraph"/>
              <w:ind w:left="0"/>
              <w:jc w:val="both"/>
              <w:rPr>
                <w:rFonts w:ascii="Arial" w:hAnsi="Arial" w:cs="Arial"/>
                <w:sz w:val="18"/>
                <w:szCs w:val="18"/>
              </w:rPr>
            </w:pPr>
            <w:r>
              <w:rPr>
                <w:rFonts w:ascii="Arial" w:hAnsi="Arial" w:cs="Arial"/>
                <w:sz w:val="18"/>
                <w:szCs w:val="18"/>
              </w:rPr>
              <w:t>Column name for Table 1.1, 1.2, 1.3, 1.4, 2.1, 2.2, and 2.3 changed from “31.12.2020” to “</w:t>
            </w:r>
            <w:r>
              <w:t>Planned position at accounting year-end</w:t>
            </w:r>
            <w:r>
              <w:rPr>
                <w:rFonts w:ascii="Arial" w:hAnsi="Arial" w:cs="Arial"/>
                <w:sz w:val="18"/>
                <w:szCs w:val="18"/>
              </w:rPr>
              <w:t>”</w:t>
            </w:r>
          </w:p>
        </w:tc>
        <w:tc>
          <w:tcPr>
            <w:tcW w:w="2268" w:type="dxa"/>
            <w:vMerge w:val="restart"/>
            <w:shd w:val="clear" w:color="auto" w:fill="auto"/>
            <w:vAlign w:val="center"/>
          </w:tcPr>
          <w:p w14:paraId="25DAFEAE" w14:textId="4BA5B25F" w:rsidR="00A36616" w:rsidRPr="000A0844" w:rsidRDefault="00CE7410" w:rsidP="004442FC">
            <w:pPr>
              <w:pStyle w:val="ListParagraph"/>
              <w:ind w:left="0"/>
              <w:jc w:val="center"/>
              <w:rPr>
                <w:rFonts w:ascii="Arial" w:hAnsi="Arial" w:cs="Arial"/>
                <w:sz w:val="18"/>
                <w:szCs w:val="18"/>
              </w:rPr>
            </w:pPr>
            <w:r w:rsidRPr="004442FC">
              <w:rPr>
                <w:rFonts w:ascii="Arial" w:hAnsi="Arial" w:cs="Arial"/>
                <w:sz w:val="18"/>
                <w:szCs w:val="18"/>
              </w:rPr>
              <w:t>1</w:t>
            </w:r>
            <w:r w:rsidR="00FF3048">
              <w:rPr>
                <w:rFonts w:ascii="Arial" w:hAnsi="Arial" w:cs="Arial"/>
                <w:sz w:val="18"/>
                <w:szCs w:val="18"/>
              </w:rPr>
              <w:t>5</w:t>
            </w:r>
            <w:bookmarkStart w:id="1" w:name="_GoBack"/>
            <w:bookmarkEnd w:id="1"/>
            <w:r w:rsidR="00A36616" w:rsidRPr="004442FC">
              <w:rPr>
                <w:rFonts w:ascii="Arial" w:hAnsi="Arial" w:cs="Arial"/>
                <w:sz w:val="18"/>
                <w:szCs w:val="18"/>
              </w:rPr>
              <w:t>/07/2020</w:t>
            </w:r>
          </w:p>
        </w:tc>
      </w:tr>
      <w:tr w:rsidR="00A36616" w14:paraId="59FA9C0E" w14:textId="77777777" w:rsidTr="006A5FCD">
        <w:tc>
          <w:tcPr>
            <w:tcW w:w="1320" w:type="dxa"/>
            <w:vMerge/>
            <w:vAlign w:val="center"/>
          </w:tcPr>
          <w:p w14:paraId="244383C7" w14:textId="77777777" w:rsidR="00A36616" w:rsidRPr="000B3664" w:rsidRDefault="00A36616" w:rsidP="000B3664">
            <w:pPr>
              <w:pStyle w:val="ListParagraph"/>
              <w:ind w:left="0"/>
              <w:jc w:val="center"/>
              <w:rPr>
                <w:rFonts w:ascii="Arial" w:hAnsi="Arial" w:cs="Arial"/>
                <w:sz w:val="18"/>
                <w:szCs w:val="18"/>
              </w:rPr>
            </w:pPr>
          </w:p>
        </w:tc>
        <w:tc>
          <w:tcPr>
            <w:tcW w:w="1320" w:type="dxa"/>
            <w:vMerge w:val="restart"/>
            <w:vAlign w:val="center"/>
          </w:tcPr>
          <w:p w14:paraId="4D233D83" w14:textId="41D9B482" w:rsidR="00A36616" w:rsidRPr="0013304F" w:rsidRDefault="00A36616" w:rsidP="000B3664">
            <w:pPr>
              <w:pStyle w:val="ListParagraph"/>
              <w:ind w:left="0"/>
              <w:jc w:val="center"/>
              <w:rPr>
                <w:rFonts w:ascii="Arial" w:hAnsi="Arial" w:cs="Arial"/>
                <w:sz w:val="18"/>
                <w:szCs w:val="18"/>
              </w:rPr>
            </w:pPr>
            <w:r>
              <w:rPr>
                <w:rFonts w:ascii="Arial" w:hAnsi="Arial" w:cs="Arial"/>
                <w:sz w:val="18"/>
                <w:szCs w:val="18"/>
              </w:rPr>
              <w:t>Market Risk</w:t>
            </w:r>
          </w:p>
        </w:tc>
        <w:tc>
          <w:tcPr>
            <w:tcW w:w="4272" w:type="dxa"/>
          </w:tcPr>
          <w:p w14:paraId="5BFBAAB9" w14:textId="039E4406" w:rsidR="00A36616" w:rsidRPr="00A36616" w:rsidRDefault="00A36616" w:rsidP="00CE7410">
            <w:pPr>
              <w:pStyle w:val="ListParagraph"/>
              <w:ind w:left="0"/>
              <w:jc w:val="both"/>
              <w:rPr>
                <w:rFonts w:ascii="Arial" w:hAnsi="Arial" w:cs="Arial"/>
                <w:sz w:val="18"/>
                <w:szCs w:val="18"/>
              </w:rPr>
            </w:pPr>
            <w:r w:rsidRPr="00A36616">
              <w:rPr>
                <w:sz w:val="18"/>
                <w:szCs w:val="18"/>
              </w:rPr>
              <w:t>Table 6.1</w:t>
            </w:r>
            <w:r w:rsidR="00E35FB5">
              <w:rPr>
                <w:sz w:val="18"/>
                <w:szCs w:val="18"/>
              </w:rPr>
              <w:t>:</w:t>
            </w:r>
            <w:r w:rsidRPr="00A36616">
              <w:rPr>
                <w:sz w:val="18"/>
                <w:szCs w:val="18"/>
              </w:rPr>
              <w:t xml:space="preserve"> Instructions related to internal stress test (columns 0080 to 0100) </w:t>
            </w:r>
            <w:r w:rsidR="00CE7410">
              <w:rPr>
                <w:sz w:val="18"/>
                <w:szCs w:val="18"/>
              </w:rPr>
              <w:t>clarified</w:t>
            </w:r>
          </w:p>
        </w:tc>
        <w:tc>
          <w:tcPr>
            <w:tcW w:w="2268" w:type="dxa"/>
            <w:vMerge/>
            <w:shd w:val="clear" w:color="auto" w:fill="auto"/>
            <w:vAlign w:val="center"/>
          </w:tcPr>
          <w:p w14:paraId="60D156C5" w14:textId="77777777" w:rsidR="00A36616" w:rsidRPr="000A0844" w:rsidRDefault="00A36616" w:rsidP="000B3664">
            <w:pPr>
              <w:pStyle w:val="ListParagraph"/>
              <w:ind w:left="0"/>
              <w:jc w:val="center"/>
              <w:rPr>
                <w:rFonts w:ascii="Arial" w:hAnsi="Arial" w:cs="Arial"/>
                <w:sz w:val="18"/>
                <w:szCs w:val="18"/>
              </w:rPr>
            </w:pPr>
          </w:p>
        </w:tc>
      </w:tr>
      <w:tr w:rsidR="00A36616" w14:paraId="18B2F6ED" w14:textId="77777777" w:rsidTr="006A5FCD">
        <w:tc>
          <w:tcPr>
            <w:tcW w:w="1320" w:type="dxa"/>
            <w:vMerge/>
            <w:vAlign w:val="center"/>
          </w:tcPr>
          <w:p w14:paraId="48FA41AD" w14:textId="77777777" w:rsidR="00A36616" w:rsidRPr="000B3664" w:rsidRDefault="00A36616" w:rsidP="000B3664">
            <w:pPr>
              <w:pStyle w:val="ListParagraph"/>
              <w:ind w:left="0"/>
              <w:jc w:val="center"/>
              <w:rPr>
                <w:rFonts w:ascii="Arial" w:hAnsi="Arial" w:cs="Arial"/>
                <w:sz w:val="18"/>
                <w:szCs w:val="18"/>
              </w:rPr>
            </w:pPr>
          </w:p>
        </w:tc>
        <w:tc>
          <w:tcPr>
            <w:tcW w:w="1320" w:type="dxa"/>
            <w:vMerge/>
            <w:vAlign w:val="center"/>
          </w:tcPr>
          <w:p w14:paraId="43B65B25" w14:textId="77777777" w:rsidR="00A36616" w:rsidRDefault="00A36616" w:rsidP="000B3664">
            <w:pPr>
              <w:pStyle w:val="ListParagraph"/>
              <w:ind w:left="0"/>
              <w:jc w:val="center"/>
              <w:rPr>
                <w:rFonts w:ascii="Arial" w:hAnsi="Arial" w:cs="Arial"/>
                <w:sz w:val="18"/>
                <w:szCs w:val="18"/>
              </w:rPr>
            </w:pPr>
          </w:p>
        </w:tc>
        <w:tc>
          <w:tcPr>
            <w:tcW w:w="4272" w:type="dxa"/>
          </w:tcPr>
          <w:p w14:paraId="45D3775A" w14:textId="69A4518D" w:rsidR="00A36616" w:rsidRPr="00A36616" w:rsidRDefault="00CE7410" w:rsidP="00F01BA3">
            <w:pPr>
              <w:pStyle w:val="ListParagraph"/>
              <w:ind w:left="0"/>
              <w:jc w:val="both"/>
              <w:rPr>
                <w:rFonts w:ascii="Arial" w:hAnsi="Arial" w:cs="Arial"/>
                <w:sz w:val="18"/>
                <w:szCs w:val="18"/>
              </w:rPr>
            </w:pPr>
            <w:r>
              <w:rPr>
                <w:sz w:val="18"/>
                <w:szCs w:val="18"/>
              </w:rPr>
              <w:t>Amended</w:t>
            </w:r>
            <w:r w:rsidR="00A35449">
              <w:rPr>
                <w:sz w:val="18"/>
                <w:szCs w:val="18"/>
              </w:rPr>
              <w:t xml:space="preserve"> </w:t>
            </w:r>
            <w:r w:rsidR="00A36616" w:rsidRPr="00A36616">
              <w:rPr>
                <w:sz w:val="18"/>
                <w:szCs w:val="18"/>
              </w:rPr>
              <w:t xml:space="preserve"> </w:t>
            </w:r>
            <w:r w:rsidR="00F01BA3">
              <w:rPr>
                <w:sz w:val="18"/>
                <w:szCs w:val="18"/>
              </w:rPr>
              <w:t>instructions</w:t>
            </w:r>
            <w:r w:rsidR="00A36616" w:rsidRPr="00A36616">
              <w:rPr>
                <w:sz w:val="18"/>
                <w:szCs w:val="18"/>
              </w:rPr>
              <w:t xml:space="preserve"> of table 6.3 row 50 “</w:t>
            </w:r>
            <w:r w:rsidR="00B27758" w:rsidRPr="00B27758">
              <w:rPr>
                <w:sz w:val="18"/>
                <w:szCs w:val="18"/>
              </w:rPr>
              <w:t>Of which: IPV/Fair Value adjustments</w:t>
            </w:r>
            <w:r w:rsidR="00A36616" w:rsidRPr="00A36616">
              <w:rPr>
                <w:sz w:val="18"/>
                <w:szCs w:val="18"/>
              </w:rPr>
              <w:t>”</w:t>
            </w:r>
          </w:p>
        </w:tc>
        <w:tc>
          <w:tcPr>
            <w:tcW w:w="2268" w:type="dxa"/>
            <w:vMerge/>
            <w:shd w:val="clear" w:color="auto" w:fill="auto"/>
            <w:vAlign w:val="center"/>
          </w:tcPr>
          <w:p w14:paraId="5C969A86" w14:textId="77777777" w:rsidR="00A36616" w:rsidRPr="000A0844" w:rsidRDefault="00A36616" w:rsidP="000B3664">
            <w:pPr>
              <w:pStyle w:val="ListParagraph"/>
              <w:ind w:left="0"/>
              <w:jc w:val="center"/>
              <w:rPr>
                <w:rFonts w:ascii="Arial" w:hAnsi="Arial" w:cs="Arial"/>
                <w:sz w:val="18"/>
                <w:szCs w:val="18"/>
              </w:rPr>
            </w:pPr>
          </w:p>
        </w:tc>
      </w:tr>
      <w:tr w:rsidR="00A36616" w14:paraId="7AF3BFC3" w14:textId="77777777" w:rsidTr="006A5FCD">
        <w:tc>
          <w:tcPr>
            <w:tcW w:w="1320" w:type="dxa"/>
            <w:vMerge/>
            <w:vAlign w:val="center"/>
          </w:tcPr>
          <w:p w14:paraId="06ADA12A" w14:textId="77777777" w:rsidR="00A36616" w:rsidRPr="000B3664" w:rsidRDefault="00A36616" w:rsidP="000B3664">
            <w:pPr>
              <w:pStyle w:val="ListParagraph"/>
              <w:ind w:left="0"/>
              <w:jc w:val="center"/>
              <w:rPr>
                <w:rFonts w:ascii="Arial" w:hAnsi="Arial" w:cs="Arial"/>
                <w:sz w:val="18"/>
                <w:szCs w:val="18"/>
              </w:rPr>
            </w:pPr>
          </w:p>
        </w:tc>
        <w:tc>
          <w:tcPr>
            <w:tcW w:w="1320" w:type="dxa"/>
            <w:vMerge/>
            <w:vAlign w:val="center"/>
          </w:tcPr>
          <w:p w14:paraId="4E0C736A" w14:textId="77777777" w:rsidR="00A36616" w:rsidRDefault="00A36616" w:rsidP="000B3664">
            <w:pPr>
              <w:pStyle w:val="ListParagraph"/>
              <w:ind w:left="0"/>
              <w:jc w:val="center"/>
              <w:rPr>
                <w:rFonts w:ascii="Arial" w:hAnsi="Arial" w:cs="Arial"/>
                <w:sz w:val="18"/>
                <w:szCs w:val="18"/>
              </w:rPr>
            </w:pPr>
          </w:p>
        </w:tc>
        <w:tc>
          <w:tcPr>
            <w:tcW w:w="4272" w:type="dxa"/>
          </w:tcPr>
          <w:p w14:paraId="4EB49B53" w14:textId="50064A6D" w:rsidR="00A36616" w:rsidRPr="00A36616" w:rsidRDefault="00A36616" w:rsidP="005376CF">
            <w:pPr>
              <w:pStyle w:val="ListParagraph"/>
              <w:ind w:left="0"/>
              <w:jc w:val="both"/>
              <w:rPr>
                <w:rFonts w:ascii="Arial" w:hAnsi="Arial" w:cs="Arial"/>
                <w:sz w:val="18"/>
                <w:szCs w:val="18"/>
              </w:rPr>
            </w:pPr>
            <w:r w:rsidRPr="00A36616">
              <w:rPr>
                <w:sz w:val="18"/>
                <w:szCs w:val="18"/>
              </w:rPr>
              <w:t xml:space="preserve">Title of column 0020 </w:t>
            </w:r>
            <w:r w:rsidR="001C64A8">
              <w:rPr>
                <w:sz w:val="18"/>
                <w:szCs w:val="18"/>
              </w:rPr>
              <w:t xml:space="preserve">of Table 6.4 </w:t>
            </w:r>
            <w:r w:rsidR="00CE7410">
              <w:rPr>
                <w:sz w:val="18"/>
                <w:szCs w:val="18"/>
              </w:rPr>
              <w:t>aligned with Template (correction of typo).</w:t>
            </w:r>
          </w:p>
        </w:tc>
        <w:tc>
          <w:tcPr>
            <w:tcW w:w="2268" w:type="dxa"/>
            <w:vMerge/>
            <w:shd w:val="clear" w:color="auto" w:fill="auto"/>
            <w:vAlign w:val="center"/>
          </w:tcPr>
          <w:p w14:paraId="01B795A0" w14:textId="77777777" w:rsidR="00A36616" w:rsidRPr="000A0844" w:rsidRDefault="00A36616" w:rsidP="000B3664">
            <w:pPr>
              <w:pStyle w:val="ListParagraph"/>
              <w:ind w:left="0"/>
              <w:jc w:val="center"/>
              <w:rPr>
                <w:rFonts w:ascii="Arial" w:hAnsi="Arial" w:cs="Arial"/>
                <w:sz w:val="18"/>
                <w:szCs w:val="18"/>
              </w:rPr>
            </w:pPr>
          </w:p>
        </w:tc>
      </w:tr>
      <w:tr w:rsidR="00A758DD" w14:paraId="7F98BCB8" w14:textId="77777777" w:rsidTr="006A5FCD">
        <w:tc>
          <w:tcPr>
            <w:tcW w:w="1320" w:type="dxa"/>
            <w:vMerge/>
            <w:vAlign w:val="center"/>
          </w:tcPr>
          <w:p w14:paraId="41E145A0" w14:textId="77777777" w:rsidR="00A758DD" w:rsidRPr="000B3664" w:rsidRDefault="00A758DD" w:rsidP="000B3664">
            <w:pPr>
              <w:pStyle w:val="ListParagraph"/>
              <w:ind w:left="0"/>
              <w:jc w:val="center"/>
              <w:rPr>
                <w:rFonts w:ascii="Arial" w:hAnsi="Arial" w:cs="Arial"/>
                <w:sz w:val="18"/>
                <w:szCs w:val="18"/>
              </w:rPr>
            </w:pPr>
          </w:p>
        </w:tc>
        <w:tc>
          <w:tcPr>
            <w:tcW w:w="1320" w:type="dxa"/>
            <w:vMerge/>
            <w:vAlign w:val="center"/>
          </w:tcPr>
          <w:p w14:paraId="7A38EAF4" w14:textId="77777777" w:rsidR="00A758DD" w:rsidRDefault="00A758DD" w:rsidP="000B3664">
            <w:pPr>
              <w:pStyle w:val="ListParagraph"/>
              <w:ind w:left="0"/>
              <w:jc w:val="center"/>
              <w:rPr>
                <w:rFonts w:ascii="Arial" w:hAnsi="Arial" w:cs="Arial"/>
                <w:sz w:val="18"/>
                <w:szCs w:val="18"/>
              </w:rPr>
            </w:pPr>
          </w:p>
        </w:tc>
        <w:tc>
          <w:tcPr>
            <w:tcW w:w="4272" w:type="dxa"/>
          </w:tcPr>
          <w:p w14:paraId="749A9F0E" w14:textId="55DF8C4E" w:rsidR="00A758DD" w:rsidRPr="00A36616" w:rsidRDefault="00A758DD" w:rsidP="005376CF">
            <w:pPr>
              <w:pStyle w:val="ListParagraph"/>
              <w:ind w:left="0"/>
              <w:jc w:val="both"/>
              <w:rPr>
                <w:sz w:val="18"/>
                <w:szCs w:val="18"/>
              </w:rPr>
            </w:pPr>
            <w:r>
              <w:rPr>
                <w:sz w:val="18"/>
                <w:szCs w:val="18"/>
              </w:rPr>
              <w:t>Table 6.5 Counterparty Credit Risk exposure: Clarification of mapping between COREP asset classes and counterparty type for which breakdown is required.</w:t>
            </w:r>
          </w:p>
        </w:tc>
        <w:tc>
          <w:tcPr>
            <w:tcW w:w="2268" w:type="dxa"/>
            <w:vMerge/>
            <w:shd w:val="clear" w:color="auto" w:fill="auto"/>
            <w:vAlign w:val="center"/>
          </w:tcPr>
          <w:p w14:paraId="6AD4C50F" w14:textId="77777777" w:rsidR="00A758DD" w:rsidRPr="000A0844" w:rsidRDefault="00A758DD" w:rsidP="000B3664">
            <w:pPr>
              <w:pStyle w:val="ListParagraph"/>
              <w:ind w:left="0"/>
              <w:jc w:val="center"/>
              <w:rPr>
                <w:rFonts w:ascii="Arial" w:hAnsi="Arial" w:cs="Arial"/>
                <w:sz w:val="18"/>
                <w:szCs w:val="18"/>
              </w:rPr>
            </w:pPr>
          </w:p>
        </w:tc>
      </w:tr>
      <w:tr w:rsidR="00A36616" w14:paraId="13A4685B" w14:textId="77777777" w:rsidTr="006A5FCD">
        <w:tc>
          <w:tcPr>
            <w:tcW w:w="1320" w:type="dxa"/>
            <w:vMerge/>
            <w:vAlign w:val="center"/>
          </w:tcPr>
          <w:p w14:paraId="26BDFD8B" w14:textId="77777777" w:rsidR="00A36616" w:rsidRPr="000B3664" w:rsidRDefault="00A36616" w:rsidP="000B3664">
            <w:pPr>
              <w:pStyle w:val="ListParagraph"/>
              <w:ind w:left="0"/>
              <w:jc w:val="center"/>
              <w:rPr>
                <w:rFonts w:ascii="Arial" w:hAnsi="Arial" w:cs="Arial"/>
                <w:sz w:val="18"/>
                <w:szCs w:val="18"/>
              </w:rPr>
            </w:pPr>
          </w:p>
        </w:tc>
        <w:tc>
          <w:tcPr>
            <w:tcW w:w="1320" w:type="dxa"/>
            <w:vMerge/>
            <w:vAlign w:val="center"/>
          </w:tcPr>
          <w:p w14:paraId="61B48E7E" w14:textId="77777777" w:rsidR="00A36616" w:rsidRDefault="00A36616" w:rsidP="000B3664">
            <w:pPr>
              <w:pStyle w:val="ListParagraph"/>
              <w:ind w:left="0"/>
              <w:jc w:val="center"/>
              <w:rPr>
                <w:rFonts w:ascii="Arial" w:hAnsi="Arial" w:cs="Arial"/>
                <w:sz w:val="18"/>
                <w:szCs w:val="18"/>
              </w:rPr>
            </w:pPr>
          </w:p>
        </w:tc>
        <w:tc>
          <w:tcPr>
            <w:tcW w:w="4272" w:type="dxa"/>
          </w:tcPr>
          <w:p w14:paraId="66CB5F2C" w14:textId="7874D0AB" w:rsidR="00A36616" w:rsidRPr="002374DD" w:rsidRDefault="00A36616" w:rsidP="005376CF">
            <w:pPr>
              <w:pStyle w:val="ListParagraph"/>
              <w:ind w:left="0"/>
              <w:jc w:val="both"/>
              <w:rPr>
                <w:sz w:val="18"/>
                <w:szCs w:val="18"/>
              </w:rPr>
            </w:pPr>
            <w:r w:rsidRPr="00A36616">
              <w:rPr>
                <w:sz w:val="18"/>
                <w:szCs w:val="18"/>
              </w:rPr>
              <w:t>T</w:t>
            </w:r>
            <w:r w:rsidR="001C64A8">
              <w:rPr>
                <w:sz w:val="18"/>
                <w:szCs w:val="18"/>
              </w:rPr>
              <w:t>able 6.7:</w:t>
            </w:r>
            <w:r w:rsidRPr="00A36616">
              <w:rPr>
                <w:sz w:val="18"/>
                <w:szCs w:val="18"/>
              </w:rPr>
              <w:t xml:space="preserve"> Reference to “OTC” removed in the title </w:t>
            </w:r>
            <w:r w:rsidR="00CE7410">
              <w:rPr>
                <w:sz w:val="18"/>
                <w:szCs w:val="18"/>
              </w:rPr>
              <w:t>of</w:t>
            </w:r>
            <w:r w:rsidRPr="00A36616">
              <w:rPr>
                <w:sz w:val="18"/>
                <w:szCs w:val="18"/>
              </w:rPr>
              <w:t xml:space="preserve"> the template. </w:t>
            </w:r>
            <w:r w:rsidR="001C64A8">
              <w:rPr>
                <w:sz w:val="18"/>
                <w:szCs w:val="18"/>
              </w:rPr>
              <w:t xml:space="preserve">Instructions for </w:t>
            </w:r>
            <w:r w:rsidRPr="00A36616">
              <w:rPr>
                <w:sz w:val="18"/>
                <w:szCs w:val="18"/>
              </w:rPr>
              <w:t>Columns 0040 and 00</w:t>
            </w:r>
            <w:r w:rsidR="00E35FB5">
              <w:rPr>
                <w:sz w:val="18"/>
                <w:szCs w:val="18"/>
              </w:rPr>
              <w:t>8</w:t>
            </w:r>
            <w:r w:rsidRPr="00A36616">
              <w:rPr>
                <w:sz w:val="18"/>
                <w:szCs w:val="18"/>
              </w:rPr>
              <w:t>0 c</w:t>
            </w:r>
            <w:r w:rsidR="00CE7410">
              <w:rPr>
                <w:sz w:val="18"/>
                <w:szCs w:val="18"/>
              </w:rPr>
              <w:t>larified</w:t>
            </w:r>
            <w:r w:rsidRPr="00A36616">
              <w:rPr>
                <w:sz w:val="18"/>
                <w:szCs w:val="18"/>
              </w:rPr>
              <w:t>.</w:t>
            </w:r>
            <w:r w:rsidR="00FA65DC">
              <w:rPr>
                <w:sz w:val="18"/>
                <w:szCs w:val="18"/>
              </w:rPr>
              <w:t xml:space="preserve"> Sign convention clarified for Columns 0010 to 0040.</w:t>
            </w:r>
          </w:p>
        </w:tc>
        <w:tc>
          <w:tcPr>
            <w:tcW w:w="2268" w:type="dxa"/>
            <w:vMerge/>
            <w:shd w:val="clear" w:color="auto" w:fill="auto"/>
            <w:vAlign w:val="center"/>
          </w:tcPr>
          <w:p w14:paraId="230F0E4D" w14:textId="77777777" w:rsidR="00A36616" w:rsidRPr="000A0844" w:rsidRDefault="00A36616" w:rsidP="000B3664">
            <w:pPr>
              <w:pStyle w:val="ListParagraph"/>
              <w:ind w:left="0"/>
              <w:jc w:val="center"/>
              <w:rPr>
                <w:rFonts w:ascii="Arial" w:hAnsi="Arial" w:cs="Arial"/>
                <w:sz w:val="18"/>
                <w:szCs w:val="18"/>
              </w:rPr>
            </w:pPr>
          </w:p>
        </w:tc>
      </w:tr>
    </w:tbl>
    <w:p w14:paraId="7C9697B8" w14:textId="77777777" w:rsidR="0091570E" w:rsidRDefault="0091570E" w:rsidP="00CA6391">
      <w:pPr>
        <w:pStyle w:val="ListParagraph"/>
        <w:ind w:left="0"/>
        <w:jc w:val="both"/>
        <w:rPr>
          <w:rFonts w:ascii="Arial" w:hAnsi="Arial" w:cs="Arial"/>
          <w:sz w:val="20"/>
          <w:szCs w:val="20"/>
        </w:rPr>
      </w:pPr>
    </w:p>
    <w:p w14:paraId="1D1FED5E" w14:textId="289DEE5C" w:rsidR="00CA5B33" w:rsidRPr="00DA7242" w:rsidRDefault="005A2384" w:rsidP="001C0E38">
      <w:pPr>
        <w:pStyle w:val="ListParagraph"/>
        <w:ind w:left="0"/>
        <w:jc w:val="center"/>
        <w:rPr>
          <w:rFonts w:ascii="Arial" w:hAnsi="Arial" w:cs="Arial"/>
          <w:b/>
          <w:sz w:val="20"/>
          <w:szCs w:val="20"/>
        </w:rPr>
      </w:pPr>
      <w:r w:rsidRPr="00DA7242">
        <w:rPr>
          <w:rFonts w:ascii="Arial" w:hAnsi="Arial" w:cs="Arial"/>
          <w:b/>
          <w:sz w:val="20"/>
          <w:szCs w:val="20"/>
        </w:rPr>
        <w:t xml:space="preserve">Part II:  </w:t>
      </w:r>
      <w:r w:rsidR="00AB4424" w:rsidRPr="00DA7242">
        <w:rPr>
          <w:rFonts w:ascii="Arial" w:hAnsi="Arial" w:cs="Arial"/>
          <w:b/>
          <w:sz w:val="20"/>
          <w:szCs w:val="20"/>
        </w:rPr>
        <w:t>Overview</w:t>
      </w:r>
      <w:r w:rsidRPr="00DA7242">
        <w:rPr>
          <w:rFonts w:ascii="Arial" w:hAnsi="Arial" w:cs="Arial"/>
          <w:b/>
          <w:sz w:val="20"/>
          <w:szCs w:val="20"/>
        </w:rPr>
        <w:t xml:space="preserve"> templates</w:t>
      </w:r>
    </w:p>
    <w:p w14:paraId="6CE1FB7F" w14:textId="77777777" w:rsidR="00334449" w:rsidRPr="00DA7242" w:rsidRDefault="00334449" w:rsidP="00334449">
      <w:pPr>
        <w:jc w:val="center"/>
        <w:rPr>
          <w:rFonts w:ascii="Arial" w:hAnsi="Arial" w:cs="Arial"/>
          <w:b/>
          <w:sz w:val="20"/>
          <w:szCs w:val="20"/>
        </w:rPr>
      </w:pPr>
      <w:r w:rsidRPr="00DA7242">
        <w:rPr>
          <w:rFonts w:ascii="Arial" w:hAnsi="Arial" w:cs="Arial"/>
          <w:b/>
          <w:sz w:val="20"/>
          <w:szCs w:val="20"/>
        </w:rPr>
        <w:t>Structure of the Overview and Operational Continuity templates</w:t>
      </w:r>
    </w:p>
    <w:p w14:paraId="347A3ADD" w14:textId="7111A387" w:rsidR="001111F8" w:rsidRPr="00DA7242" w:rsidRDefault="00334449" w:rsidP="00FD544C">
      <w:pPr>
        <w:jc w:val="both"/>
        <w:rPr>
          <w:rFonts w:ascii="Arial" w:hAnsi="Arial" w:cs="Arial"/>
          <w:sz w:val="20"/>
          <w:szCs w:val="20"/>
        </w:rPr>
      </w:pPr>
      <w:r w:rsidRPr="00DA7242">
        <w:rPr>
          <w:rFonts w:ascii="Arial" w:hAnsi="Arial" w:cs="Arial"/>
          <w:sz w:val="20"/>
          <w:szCs w:val="20"/>
        </w:rPr>
        <w:t xml:space="preserve">The following </w:t>
      </w:r>
      <w:r w:rsidR="006B6AF6" w:rsidRPr="00DA7242">
        <w:rPr>
          <w:rFonts w:ascii="Arial" w:hAnsi="Arial" w:cs="Arial"/>
          <w:sz w:val="20"/>
          <w:szCs w:val="20"/>
        </w:rPr>
        <w:t xml:space="preserve">sheets </w:t>
      </w:r>
      <w:r w:rsidRPr="00DA7242">
        <w:rPr>
          <w:rFonts w:ascii="Arial" w:hAnsi="Arial" w:cs="Arial"/>
          <w:sz w:val="20"/>
          <w:szCs w:val="20"/>
        </w:rPr>
        <w:t xml:space="preserve">are included in this part of the </w:t>
      </w:r>
      <w:r w:rsidR="00383BDC" w:rsidRPr="00DA7242">
        <w:rPr>
          <w:rFonts w:ascii="Arial" w:hAnsi="Arial" w:cs="Arial"/>
          <w:sz w:val="20"/>
          <w:szCs w:val="20"/>
        </w:rPr>
        <w:t>COVID-19</w:t>
      </w:r>
      <w:r w:rsidR="00F30840" w:rsidRPr="00DA7242">
        <w:rPr>
          <w:rFonts w:ascii="Arial" w:hAnsi="Arial" w:cs="Arial"/>
          <w:sz w:val="20"/>
          <w:szCs w:val="20"/>
        </w:rPr>
        <w:t xml:space="preserve"> reporting</w:t>
      </w:r>
      <w:r w:rsidR="001C0E38" w:rsidRPr="00DA7242">
        <w:rPr>
          <w:rFonts w:ascii="Arial" w:hAnsi="Arial" w:cs="Arial"/>
          <w:sz w:val="20"/>
          <w:szCs w:val="20"/>
        </w:rPr>
        <w:t>:</w:t>
      </w:r>
      <w:r w:rsidR="00552DD1" w:rsidRPr="00DA7242">
        <w:rPr>
          <w:rFonts w:ascii="Arial" w:hAnsi="Arial" w:cs="Arial"/>
          <w:sz w:val="20"/>
          <w:szCs w:val="20"/>
        </w:rPr>
        <w:t xml:space="preserve"> (1) </w:t>
      </w:r>
      <w:r w:rsidR="001111F8" w:rsidRPr="00DA7242">
        <w:rPr>
          <w:rFonts w:ascii="Arial" w:hAnsi="Arial" w:cs="Arial"/>
          <w:sz w:val="20"/>
          <w:szCs w:val="20"/>
        </w:rPr>
        <w:t>Balance Sheet and P&amp;L</w:t>
      </w:r>
      <w:r w:rsidR="00552DD1" w:rsidRPr="00DA7242">
        <w:rPr>
          <w:rFonts w:ascii="Arial" w:hAnsi="Arial" w:cs="Arial"/>
          <w:sz w:val="20"/>
          <w:szCs w:val="20"/>
        </w:rPr>
        <w:t xml:space="preserve">, (2) </w:t>
      </w:r>
      <w:r w:rsidR="001111F8" w:rsidRPr="00DA7242">
        <w:rPr>
          <w:rFonts w:ascii="Arial" w:hAnsi="Arial" w:cs="Arial"/>
          <w:sz w:val="20"/>
          <w:szCs w:val="20"/>
        </w:rPr>
        <w:t>Regulatory requirements</w:t>
      </w:r>
      <w:r w:rsidR="00552DD1" w:rsidRPr="00DA7242">
        <w:rPr>
          <w:rFonts w:ascii="Arial" w:hAnsi="Arial" w:cs="Arial"/>
          <w:sz w:val="20"/>
          <w:szCs w:val="20"/>
        </w:rPr>
        <w:t xml:space="preserve"> and (3) </w:t>
      </w:r>
      <w:r w:rsidR="001111F8" w:rsidRPr="00DA7242">
        <w:rPr>
          <w:rFonts w:ascii="Arial" w:hAnsi="Arial" w:cs="Arial"/>
          <w:sz w:val="20"/>
          <w:szCs w:val="20"/>
        </w:rPr>
        <w:t>Operational continuity and risk</w:t>
      </w:r>
      <w:r w:rsidR="00552DD1" w:rsidRPr="00DA7242">
        <w:rPr>
          <w:rFonts w:ascii="Arial" w:hAnsi="Arial" w:cs="Arial"/>
          <w:sz w:val="20"/>
          <w:szCs w:val="20"/>
        </w:rPr>
        <w:t>.</w:t>
      </w:r>
    </w:p>
    <w:p w14:paraId="6363A7FB" w14:textId="77777777" w:rsidR="006F053A" w:rsidRPr="00DA7242" w:rsidRDefault="006F053A" w:rsidP="0035689D">
      <w:pPr>
        <w:pStyle w:val="ListParagraph"/>
        <w:ind w:left="0"/>
        <w:rPr>
          <w:rFonts w:ascii="Arial" w:eastAsia="Arial" w:hAnsi="Arial" w:cs="Arial"/>
          <w:i/>
          <w:sz w:val="20"/>
          <w:szCs w:val="20"/>
          <w:lang w:eastAsia="x-none"/>
        </w:rPr>
      </w:pPr>
    </w:p>
    <w:p w14:paraId="5030F059" w14:textId="77777777" w:rsidR="00334449" w:rsidRPr="0035689D" w:rsidRDefault="00334449" w:rsidP="0035689D">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General remarks</w:t>
      </w:r>
    </w:p>
    <w:p w14:paraId="00816BCA" w14:textId="4CBB5BB1" w:rsidR="00A60155" w:rsidRPr="00DA7242" w:rsidRDefault="00F30840" w:rsidP="001C0E38">
      <w:pPr>
        <w:jc w:val="both"/>
        <w:rPr>
          <w:rFonts w:ascii="Arial" w:hAnsi="Arial" w:cs="Arial"/>
          <w:sz w:val="20"/>
          <w:szCs w:val="20"/>
        </w:rPr>
      </w:pPr>
      <w:r w:rsidRPr="00DA7242">
        <w:rPr>
          <w:rFonts w:ascii="Arial" w:hAnsi="Arial" w:cs="Arial"/>
          <w:sz w:val="20"/>
          <w:szCs w:val="20"/>
        </w:rPr>
        <w:t>Where relevant, t</w:t>
      </w:r>
      <w:r w:rsidR="00A60155" w:rsidRPr="00DA7242">
        <w:rPr>
          <w:rFonts w:ascii="Arial" w:hAnsi="Arial" w:cs="Arial"/>
          <w:sz w:val="20"/>
          <w:szCs w:val="20"/>
        </w:rPr>
        <w:t xml:space="preserve">he definitions used in </w:t>
      </w:r>
      <w:r w:rsidR="00040426" w:rsidRPr="00DA7242">
        <w:rPr>
          <w:rFonts w:ascii="Arial" w:hAnsi="Arial" w:cs="Arial"/>
          <w:sz w:val="20"/>
          <w:szCs w:val="20"/>
        </w:rPr>
        <w:t xml:space="preserve">the </w:t>
      </w:r>
      <w:r w:rsidR="00A60155" w:rsidRPr="00DA7242">
        <w:rPr>
          <w:rFonts w:ascii="Arial" w:hAnsi="Arial" w:cs="Arial"/>
          <w:sz w:val="20"/>
          <w:szCs w:val="20"/>
        </w:rPr>
        <w:t xml:space="preserve">template above are based on definitions and concepts defined in Commission Implementing Regulation (EU) No 680/2014 (hereinafter, ITS on Supervisory Reporting). More specifically, </w:t>
      </w:r>
      <w:r w:rsidR="00552DD1" w:rsidRPr="00DA7242">
        <w:rPr>
          <w:rFonts w:ascii="Arial" w:hAnsi="Arial" w:cs="Arial"/>
          <w:sz w:val="20"/>
          <w:szCs w:val="20"/>
        </w:rPr>
        <w:t xml:space="preserve">Tab </w:t>
      </w:r>
      <w:r w:rsidR="00A60155" w:rsidRPr="00DA7242">
        <w:rPr>
          <w:rFonts w:ascii="Arial" w:hAnsi="Arial" w:cs="Arial"/>
          <w:sz w:val="20"/>
          <w:szCs w:val="20"/>
        </w:rPr>
        <w:t xml:space="preserve">1 </w:t>
      </w:r>
      <w:r w:rsidR="00552DD1" w:rsidRPr="00DA7242">
        <w:rPr>
          <w:rFonts w:ascii="Arial" w:hAnsi="Arial" w:cs="Arial"/>
          <w:sz w:val="20"/>
          <w:szCs w:val="20"/>
        </w:rPr>
        <w:t xml:space="preserve">(Balance Sheet and P&amp;L) </w:t>
      </w:r>
      <w:r w:rsidR="00A60155" w:rsidRPr="00DA7242">
        <w:rPr>
          <w:rFonts w:ascii="Arial" w:hAnsi="Arial" w:cs="Arial"/>
          <w:sz w:val="20"/>
          <w:szCs w:val="20"/>
        </w:rPr>
        <w:t>and 2</w:t>
      </w:r>
      <w:r w:rsidR="00552DD1" w:rsidRPr="00DA7242">
        <w:rPr>
          <w:rFonts w:ascii="Arial" w:hAnsi="Arial" w:cs="Arial"/>
          <w:sz w:val="20"/>
          <w:szCs w:val="20"/>
        </w:rPr>
        <w:t xml:space="preserve"> (Regulatory requirements)</w:t>
      </w:r>
      <w:r w:rsidR="00A60155" w:rsidRPr="00DA7242">
        <w:rPr>
          <w:rFonts w:ascii="Arial" w:hAnsi="Arial" w:cs="Arial"/>
          <w:sz w:val="20"/>
          <w:szCs w:val="20"/>
        </w:rPr>
        <w:t xml:space="preserve"> are mainly based on the information included in Annex I (‘COREP’) and Annex III and Annex IV (‘FINREP’), and should be filled in by the reporting institutions according to the instructions in Annex II and Annex V of the ITS on Supervisory Reporting respectively.</w:t>
      </w:r>
    </w:p>
    <w:p w14:paraId="0010D59D" w14:textId="77777777" w:rsidR="00A60155" w:rsidRPr="00DA7242" w:rsidRDefault="00A60155" w:rsidP="001C0E38">
      <w:pPr>
        <w:jc w:val="both"/>
        <w:rPr>
          <w:rFonts w:ascii="Arial" w:hAnsi="Arial" w:cs="Arial"/>
          <w:sz w:val="20"/>
          <w:szCs w:val="20"/>
        </w:rPr>
      </w:pPr>
      <w:r w:rsidRPr="00DA7242">
        <w:rPr>
          <w:rFonts w:ascii="Arial" w:hAnsi="Arial" w:cs="Arial"/>
          <w:sz w:val="20"/>
          <w:szCs w:val="20"/>
        </w:rPr>
        <w:t xml:space="preserve">Reporting institutions should fill in the template according to the mapping with the </w:t>
      </w:r>
      <w:proofErr w:type="gramStart"/>
      <w:r w:rsidRPr="00DA7242">
        <w:rPr>
          <w:rFonts w:ascii="Arial" w:hAnsi="Arial" w:cs="Arial"/>
          <w:sz w:val="20"/>
          <w:szCs w:val="20"/>
        </w:rPr>
        <w:t>ITS</w:t>
      </w:r>
      <w:proofErr w:type="gramEnd"/>
      <w:r w:rsidRPr="00DA7242">
        <w:rPr>
          <w:rFonts w:ascii="Arial" w:hAnsi="Arial" w:cs="Arial"/>
          <w:sz w:val="20"/>
          <w:szCs w:val="20"/>
        </w:rPr>
        <w:t xml:space="preserve"> on Supervisory Reporting as provided in the reporting template. Where a mapping with</w:t>
      </w:r>
      <w:r w:rsidR="00383BDC" w:rsidRPr="00DA7242">
        <w:rPr>
          <w:rFonts w:ascii="Arial" w:hAnsi="Arial" w:cs="Arial"/>
          <w:sz w:val="20"/>
          <w:szCs w:val="20"/>
        </w:rPr>
        <w:t xml:space="preserve"> the</w:t>
      </w:r>
      <w:r w:rsidRPr="00DA7242">
        <w:rPr>
          <w:rFonts w:ascii="Arial" w:hAnsi="Arial" w:cs="Arial"/>
          <w:sz w:val="20"/>
          <w:szCs w:val="20"/>
        </w:rPr>
        <w:t xml:space="preserve"> ITS on Supervisory reporting does not exist, specific instructions for row and columns are provided in the paragraphs below and </w:t>
      </w:r>
      <w:r w:rsidR="00E86D6B" w:rsidRPr="00DA7242">
        <w:rPr>
          <w:rFonts w:ascii="Arial" w:hAnsi="Arial" w:cs="Arial"/>
          <w:sz w:val="20"/>
          <w:szCs w:val="20"/>
        </w:rPr>
        <w:t xml:space="preserve">should </w:t>
      </w:r>
      <w:r w:rsidRPr="00DA7242">
        <w:rPr>
          <w:rFonts w:ascii="Arial" w:hAnsi="Arial" w:cs="Arial"/>
          <w:sz w:val="20"/>
          <w:szCs w:val="20"/>
        </w:rPr>
        <w:t>be applied by reporting institutions when filling-in the templates.</w:t>
      </w:r>
    </w:p>
    <w:p w14:paraId="20DFA87A" w14:textId="77777777" w:rsidR="00033F80" w:rsidRPr="00DA7242" w:rsidRDefault="00033F80" w:rsidP="00FD544C">
      <w:pPr>
        <w:spacing w:after="160" w:line="259" w:lineRule="auto"/>
        <w:jc w:val="both"/>
        <w:rPr>
          <w:rFonts w:ascii="Arial" w:eastAsia="Arial" w:hAnsi="Arial" w:cs="Arial"/>
          <w:sz w:val="20"/>
          <w:szCs w:val="20"/>
          <w:lang w:eastAsia="x-none"/>
        </w:rPr>
      </w:pPr>
      <w:r w:rsidRPr="00DA7242">
        <w:rPr>
          <w:rFonts w:ascii="Arial" w:eastAsia="Arial" w:hAnsi="Arial" w:cs="Arial"/>
          <w:sz w:val="20"/>
          <w:szCs w:val="20"/>
          <w:lang w:eastAsia="x-none"/>
        </w:rPr>
        <w:t>For financial information, the instructions should be applied by both institutions that use national accounting standards (national GAAP) and institutions that use IFRS in their public financial statements respectively, unless otherwise provided.</w:t>
      </w:r>
    </w:p>
    <w:p w14:paraId="0130459E" w14:textId="4C9D76C3" w:rsidR="006F053A" w:rsidRPr="00174455" w:rsidRDefault="00174455" w:rsidP="00174455">
      <w:pPr>
        <w:spacing w:after="160" w:line="259" w:lineRule="auto"/>
        <w:jc w:val="both"/>
        <w:rPr>
          <w:rFonts w:ascii="Arial" w:eastAsia="Arial" w:hAnsi="Arial" w:cs="Arial"/>
          <w:sz w:val="20"/>
          <w:szCs w:val="20"/>
          <w:lang w:eastAsia="x-none"/>
        </w:rPr>
      </w:pPr>
      <w:r w:rsidRPr="00174455">
        <w:rPr>
          <w:rFonts w:ascii="Arial" w:eastAsia="Arial" w:hAnsi="Arial" w:cs="Arial"/>
          <w:sz w:val="20"/>
          <w:szCs w:val="20"/>
          <w:lang w:eastAsia="x-none"/>
        </w:rPr>
        <w:t xml:space="preserve">For items which projections are requested, these should be updated only if reporting institution has updated the internal assumptions underlying </w:t>
      </w:r>
      <w:r w:rsidRPr="0035689D">
        <w:rPr>
          <w:rFonts w:ascii="Arial" w:eastAsia="Arial" w:hAnsi="Arial" w:cs="Arial"/>
          <w:sz w:val="20"/>
          <w:szCs w:val="20"/>
          <w:lang w:eastAsia="x-none"/>
        </w:rPr>
        <w:t>its yearly budget, capital or liquidity/funding plans</w:t>
      </w:r>
      <w:r w:rsidRPr="00174455">
        <w:rPr>
          <w:rFonts w:ascii="Arial" w:eastAsia="Arial" w:hAnsi="Arial" w:cs="Arial"/>
          <w:sz w:val="20"/>
          <w:szCs w:val="20"/>
          <w:lang w:eastAsia="x-none"/>
        </w:rPr>
        <w:t xml:space="preserve">. If no update to the projection figures has occurred with respect to the previous reference date, the same figures as the previous reference date would be reported. </w:t>
      </w:r>
      <w:r w:rsidRPr="0035689D">
        <w:rPr>
          <w:rFonts w:ascii="Arial" w:eastAsia="Arial" w:hAnsi="Arial" w:cs="Arial"/>
          <w:sz w:val="20"/>
          <w:szCs w:val="20"/>
          <w:lang w:eastAsia="x-none"/>
        </w:rPr>
        <w:t>Changes to assumptions underlying the projection figures should be explained in the comment section.</w:t>
      </w:r>
    </w:p>
    <w:p w14:paraId="24DF60CB" w14:textId="77777777" w:rsidR="00174455" w:rsidRPr="00DA7242" w:rsidRDefault="00174455" w:rsidP="0035689D">
      <w:pPr>
        <w:pStyle w:val="ListParagraph"/>
        <w:ind w:left="0"/>
        <w:rPr>
          <w:rFonts w:ascii="Arial" w:eastAsia="Arial" w:hAnsi="Arial" w:cs="Arial"/>
          <w:i/>
          <w:sz w:val="20"/>
          <w:szCs w:val="20"/>
          <w:lang w:eastAsia="x-none"/>
        </w:rPr>
      </w:pPr>
    </w:p>
    <w:p w14:paraId="3F4F1763" w14:textId="77777777" w:rsidR="00334449" w:rsidRPr="0035689D" w:rsidRDefault="00A60155" w:rsidP="0035689D">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Instructions concerning specific rows: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6911"/>
      </w:tblGrid>
      <w:tr w:rsidR="003D4486" w:rsidRPr="00DA7242" w14:paraId="13272DED" w14:textId="77777777" w:rsidTr="0035689D">
        <w:trPr>
          <w:trHeight w:val="304"/>
        </w:trPr>
        <w:tc>
          <w:tcPr>
            <w:tcW w:w="1418" w:type="dxa"/>
            <w:shd w:val="clear" w:color="auto" w:fill="D9D9D9" w:themeFill="background1" w:themeFillShade="D9"/>
          </w:tcPr>
          <w:p w14:paraId="58411422" w14:textId="77777777" w:rsidR="003D4486" w:rsidRPr="00DA7242" w:rsidRDefault="003D4486" w:rsidP="00994C51">
            <w:pPr>
              <w:pStyle w:val="TableParagraph"/>
              <w:spacing w:before="117" w:after="120"/>
              <w:ind w:left="102"/>
              <w:rPr>
                <w:rFonts w:ascii="Arial" w:hAnsi="Arial" w:cs="Arial"/>
                <w:spacing w:val="-1"/>
                <w:sz w:val="20"/>
                <w:szCs w:val="20"/>
              </w:rPr>
            </w:pPr>
            <w:r w:rsidRPr="00DA7242">
              <w:rPr>
                <w:rFonts w:ascii="Arial" w:hAnsi="Arial" w:cs="Arial"/>
                <w:spacing w:val="-1"/>
                <w:sz w:val="20"/>
                <w:szCs w:val="20"/>
              </w:rPr>
              <w:t>Table</w:t>
            </w:r>
          </w:p>
        </w:tc>
        <w:tc>
          <w:tcPr>
            <w:tcW w:w="1418" w:type="dxa"/>
            <w:shd w:val="clear" w:color="auto" w:fill="D9D9D9" w:themeFill="background1" w:themeFillShade="D9"/>
          </w:tcPr>
          <w:p w14:paraId="53AE325E" w14:textId="77777777" w:rsidR="003D4486" w:rsidRPr="00DA7242" w:rsidRDefault="003D4486" w:rsidP="00994C51">
            <w:pPr>
              <w:pStyle w:val="TableParagraph"/>
              <w:spacing w:before="117" w:after="120"/>
              <w:ind w:left="102"/>
              <w:rPr>
                <w:rFonts w:ascii="Arial" w:hAnsi="Arial" w:cs="Arial"/>
                <w:sz w:val="20"/>
                <w:szCs w:val="20"/>
              </w:rPr>
            </w:pPr>
            <w:r w:rsidRPr="00DA7242">
              <w:rPr>
                <w:rFonts w:ascii="Arial" w:hAnsi="Arial" w:cs="Arial"/>
                <w:spacing w:val="-1"/>
                <w:sz w:val="20"/>
                <w:szCs w:val="20"/>
              </w:rPr>
              <w:t>Row</w:t>
            </w:r>
          </w:p>
        </w:tc>
        <w:tc>
          <w:tcPr>
            <w:tcW w:w="6911" w:type="dxa"/>
            <w:shd w:val="clear" w:color="auto" w:fill="D9D9D9" w:themeFill="background1" w:themeFillShade="D9"/>
          </w:tcPr>
          <w:p w14:paraId="5CCF2E11" w14:textId="77777777" w:rsidR="003D4486" w:rsidRPr="00DA7242" w:rsidRDefault="003D4486" w:rsidP="00994C51">
            <w:pPr>
              <w:pStyle w:val="TableParagraph"/>
              <w:spacing w:before="117" w:after="120"/>
              <w:ind w:left="102"/>
              <w:rPr>
                <w:rFonts w:ascii="Arial" w:hAnsi="Arial" w:cs="Arial"/>
                <w:bCs/>
                <w:sz w:val="20"/>
                <w:szCs w:val="20"/>
                <w:u w:val="single"/>
              </w:rPr>
            </w:pPr>
            <w:r w:rsidRPr="00DA7242">
              <w:rPr>
                <w:rFonts w:ascii="Arial" w:hAnsi="Arial" w:cs="Arial"/>
                <w:sz w:val="20"/>
                <w:szCs w:val="20"/>
              </w:rPr>
              <w:t xml:space="preserve">Legal </w:t>
            </w:r>
            <w:r w:rsidRPr="00DA7242">
              <w:rPr>
                <w:rFonts w:ascii="Arial" w:hAnsi="Arial" w:cs="Arial"/>
                <w:spacing w:val="-1"/>
                <w:sz w:val="20"/>
                <w:szCs w:val="20"/>
              </w:rPr>
              <w:t>references</w:t>
            </w:r>
            <w:r w:rsidRPr="00DA7242">
              <w:rPr>
                <w:rFonts w:ascii="Arial" w:hAnsi="Arial" w:cs="Arial"/>
                <w:sz w:val="20"/>
                <w:szCs w:val="20"/>
              </w:rPr>
              <w:t xml:space="preserve"> and instructions</w:t>
            </w:r>
          </w:p>
        </w:tc>
      </w:tr>
      <w:tr w:rsidR="003D4486" w:rsidRPr="00DA7242" w14:paraId="376D265B" w14:textId="77777777" w:rsidTr="0035689D">
        <w:trPr>
          <w:trHeight w:val="304"/>
        </w:trPr>
        <w:tc>
          <w:tcPr>
            <w:tcW w:w="1418" w:type="dxa"/>
          </w:tcPr>
          <w:p w14:paraId="61199837"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lastRenderedPageBreak/>
              <w:t>Table 1.1</w:t>
            </w:r>
          </w:p>
        </w:tc>
        <w:tc>
          <w:tcPr>
            <w:tcW w:w="1418" w:type="dxa"/>
          </w:tcPr>
          <w:p w14:paraId="2DF15BE2"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0070</w:t>
            </w:r>
          </w:p>
        </w:tc>
        <w:tc>
          <w:tcPr>
            <w:tcW w:w="6911" w:type="dxa"/>
          </w:tcPr>
          <w:p w14:paraId="1F5EC824" w14:textId="77777777" w:rsidR="003D4486" w:rsidRPr="00DA7242" w:rsidRDefault="003D4486" w:rsidP="00994C51">
            <w:pPr>
              <w:pStyle w:val="TableParagraph"/>
              <w:spacing w:before="118"/>
              <w:ind w:left="102"/>
              <w:rPr>
                <w:rFonts w:ascii="Arial" w:hAnsi="Arial" w:cs="Arial"/>
                <w:b/>
                <w:sz w:val="20"/>
                <w:szCs w:val="20"/>
                <w:u w:val="thick" w:color="000000"/>
              </w:rPr>
            </w:pPr>
            <w:r w:rsidRPr="00DA7242">
              <w:rPr>
                <w:rFonts w:ascii="Arial" w:hAnsi="Arial" w:cs="Arial"/>
                <w:b/>
                <w:sz w:val="20"/>
                <w:szCs w:val="20"/>
                <w:u w:val="thick" w:color="000000"/>
              </w:rPr>
              <w:t xml:space="preserve">Of which: Reclassification from Fair Value measurement to </w:t>
            </w:r>
            <w:proofErr w:type="spellStart"/>
            <w:r w:rsidRPr="00DA7242">
              <w:rPr>
                <w:rFonts w:ascii="Arial" w:hAnsi="Arial" w:cs="Arial"/>
                <w:b/>
                <w:sz w:val="20"/>
                <w:szCs w:val="20"/>
                <w:u w:val="thick" w:color="000000"/>
              </w:rPr>
              <w:t>Amortised</w:t>
            </w:r>
            <w:proofErr w:type="spellEnd"/>
            <w:r w:rsidRPr="00DA7242">
              <w:rPr>
                <w:rFonts w:ascii="Arial" w:hAnsi="Arial" w:cs="Arial"/>
                <w:b/>
                <w:sz w:val="20"/>
                <w:szCs w:val="20"/>
                <w:u w:val="thick" w:color="000000"/>
              </w:rPr>
              <w:t xml:space="preserve"> cost</w:t>
            </w:r>
          </w:p>
          <w:p w14:paraId="1230DB28" w14:textId="77777777" w:rsidR="003D4486" w:rsidRPr="00DA7242" w:rsidRDefault="003D4486" w:rsidP="00994C51">
            <w:pPr>
              <w:pStyle w:val="TableParagraph"/>
              <w:spacing w:before="118"/>
              <w:ind w:left="102"/>
              <w:rPr>
                <w:rFonts w:ascii="Arial" w:hAnsi="Arial" w:cs="Arial"/>
                <w:spacing w:val="-1"/>
                <w:sz w:val="20"/>
                <w:szCs w:val="20"/>
              </w:rPr>
            </w:pPr>
            <w:r w:rsidRPr="00DA7242">
              <w:rPr>
                <w:rFonts w:ascii="Arial" w:hAnsi="Arial" w:cs="Arial"/>
                <w:spacing w:val="-1"/>
                <w:sz w:val="20"/>
                <w:szCs w:val="20"/>
              </w:rPr>
              <w:t xml:space="preserve">Carrying amount of Debt Instruments which have been reclassified from fair value measurement to </w:t>
            </w:r>
            <w:proofErr w:type="spellStart"/>
            <w:r w:rsidRPr="00DA7242">
              <w:rPr>
                <w:rFonts w:ascii="Arial" w:hAnsi="Arial" w:cs="Arial"/>
                <w:spacing w:val="-1"/>
                <w:sz w:val="20"/>
                <w:szCs w:val="20"/>
              </w:rPr>
              <w:t>amortised</w:t>
            </w:r>
            <w:proofErr w:type="spellEnd"/>
            <w:r w:rsidRPr="00DA7242">
              <w:rPr>
                <w:rFonts w:ascii="Arial" w:hAnsi="Arial" w:cs="Arial"/>
                <w:spacing w:val="-1"/>
                <w:sz w:val="20"/>
                <w:szCs w:val="20"/>
              </w:rPr>
              <w:t xml:space="preserve"> cost</w:t>
            </w:r>
            <w:r w:rsidR="003B4D8B" w:rsidRPr="00DA7242">
              <w:rPr>
                <w:rFonts w:ascii="Arial" w:hAnsi="Arial" w:cs="Arial"/>
                <w:spacing w:val="-1"/>
                <w:sz w:val="20"/>
                <w:szCs w:val="20"/>
              </w:rPr>
              <w:t>.</w:t>
            </w:r>
          </w:p>
          <w:p w14:paraId="77544B58" w14:textId="77777777" w:rsidR="003B4D8B" w:rsidRPr="00DA7242" w:rsidRDefault="003B4D8B" w:rsidP="00994C51">
            <w:pPr>
              <w:pStyle w:val="TableParagraph"/>
              <w:spacing w:before="118"/>
              <w:ind w:left="102"/>
              <w:rPr>
                <w:rFonts w:ascii="Arial" w:hAnsi="Arial" w:cs="Arial"/>
                <w:spacing w:val="-1"/>
                <w:sz w:val="20"/>
                <w:szCs w:val="20"/>
              </w:rPr>
            </w:pPr>
            <w:r w:rsidRPr="00DA7242">
              <w:rPr>
                <w:rFonts w:ascii="Arial" w:hAnsi="Arial" w:cs="Arial"/>
                <w:spacing w:val="-1"/>
                <w:sz w:val="20"/>
                <w:szCs w:val="20"/>
              </w:rPr>
              <w:t>The figure should reflect the total carrying amount of debt instruments reclassified from fair value to amortized cost since 1 March 2020.</w:t>
            </w:r>
          </w:p>
          <w:p w14:paraId="77DB698C" w14:textId="77777777" w:rsidR="003D4486" w:rsidRPr="00DA7242" w:rsidRDefault="003D4486" w:rsidP="00994C51">
            <w:pPr>
              <w:pStyle w:val="TableParagraph"/>
              <w:spacing w:before="118"/>
              <w:ind w:left="102"/>
              <w:rPr>
                <w:rFonts w:ascii="Arial" w:hAnsi="Arial" w:cs="Arial"/>
                <w:b/>
                <w:sz w:val="20"/>
                <w:szCs w:val="20"/>
                <w:u w:val="thick" w:color="000000"/>
              </w:rPr>
            </w:pPr>
          </w:p>
        </w:tc>
      </w:tr>
      <w:tr w:rsidR="003D4486" w:rsidRPr="00DA7242" w14:paraId="0B83564A" w14:textId="77777777" w:rsidTr="0035689D">
        <w:trPr>
          <w:trHeight w:val="304"/>
        </w:trPr>
        <w:tc>
          <w:tcPr>
            <w:tcW w:w="1418" w:type="dxa"/>
          </w:tcPr>
          <w:p w14:paraId="3843BF33"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2.3</w:t>
            </w:r>
          </w:p>
        </w:tc>
        <w:tc>
          <w:tcPr>
            <w:tcW w:w="1418" w:type="dxa"/>
          </w:tcPr>
          <w:p w14:paraId="1A0ACD70"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Pr>
          <w:p w14:paraId="2B780739" w14:textId="77777777" w:rsidR="003D4486" w:rsidRPr="00DA7242" w:rsidRDefault="003D4486" w:rsidP="00994C51">
            <w:pPr>
              <w:pStyle w:val="TableParagraph"/>
              <w:spacing w:before="118"/>
              <w:ind w:left="102"/>
              <w:rPr>
                <w:rFonts w:ascii="Arial" w:hAnsi="Arial" w:cs="Arial"/>
                <w:b/>
                <w:sz w:val="20"/>
                <w:szCs w:val="20"/>
                <w:u w:val="thick" w:color="000000"/>
              </w:rPr>
            </w:pPr>
            <w:r w:rsidRPr="00DA7242">
              <w:rPr>
                <w:rFonts w:ascii="Arial" w:hAnsi="Arial" w:cs="Arial"/>
                <w:b/>
                <w:sz w:val="20"/>
                <w:szCs w:val="20"/>
                <w:u w:val="thick" w:color="000000"/>
              </w:rPr>
              <w:t>NSFR - Available Stable Funding</w:t>
            </w:r>
          </w:p>
          <w:p w14:paraId="36B9DEC3" w14:textId="77777777" w:rsidR="003D4486" w:rsidRPr="00DA7242" w:rsidRDefault="003D4486" w:rsidP="00994C51">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total amount of Available Stable Funding amount according to the instructions provided in </w:t>
            </w:r>
            <w:r w:rsidR="00473296" w:rsidRPr="00DA7242">
              <w:rPr>
                <w:rFonts w:ascii="Arial" w:hAnsi="Arial" w:cs="Arial"/>
                <w:spacing w:val="-1"/>
                <w:sz w:val="20"/>
                <w:szCs w:val="20"/>
              </w:rPr>
              <w:t xml:space="preserve">the Liquidity section of the Short Term Exercise </w:t>
            </w:r>
            <w:r w:rsidR="00473296" w:rsidRPr="00DA7242">
              <w:rPr>
                <w:rFonts w:ascii="Arial" w:hAnsi="Arial" w:cs="Arial"/>
                <w:sz w:val="20"/>
                <w:szCs w:val="20"/>
                <w:lang w:val="en-GB"/>
              </w:rPr>
              <w:t>collected for SREP purposes (STE)</w:t>
            </w:r>
            <w:r w:rsidR="003B4D8B" w:rsidRPr="00DA7242">
              <w:rPr>
                <w:rFonts w:ascii="Arial" w:hAnsi="Arial" w:cs="Arial"/>
                <w:sz w:val="20"/>
                <w:szCs w:val="20"/>
                <w:lang w:val="en-GB"/>
              </w:rPr>
              <w:t>.</w:t>
            </w:r>
          </w:p>
          <w:p w14:paraId="13A3BC81" w14:textId="77777777" w:rsidR="003D4486" w:rsidRPr="00DA7242" w:rsidRDefault="003D4486" w:rsidP="00994C51">
            <w:pPr>
              <w:pStyle w:val="TableParagraph"/>
              <w:spacing w:before="118"/>
              <w:ind w:left="102"/>
              <w:rPr>
                <w:rFonts w:ascii="Arial" w:hAnsi="Arial" w:cs="Arial"/>
                <w:b/>
                <w:sz w:val="20"/>
                <w:szCs w:val="20"/>
                <w:u w:val="thick" w:color="000000"/>
              </w:rPr>
            </w:pPr>
          </w:p>
        </w:tc>
      </w:tr>
      <w:tr w:rsidR="003D4486" w:rsidRPr="00DA7242" w14:paraId="257B78C2" w14:textId="77777777" w:rsidTr="0035689D">
        <w:trPr>
          <w:trHeight w:val="304"/>
        </w:trPr>
        <w:tc>
          <w:tcPr>
            <w:tcW w:w="1418" w:type="dxa"/>
          </w:tcPr>
          <w:p w14:paraId="48921BEA"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2.3</w:t>
            </w:r>
          </w:p>
        </w:tc>
        <w:tc>
          <w:tcPr>
            <w:tcW w:w="1418" w:type="dxa"/>
          </w:tcPr>
          <w:p w14:paraId="2845C157"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0040</w:t>
            </w:r>
          </w:p>
        </w:tc>
        <w:tc>
          <w:tcPr>
            <w:tcW w:w="6911" w:type="dxa"/>
          </w:tcPr>
          <w:p w14:paraId="1716FE93" w14:textId="77777777" w:rsidR="003D4486" w:rsidRPr="00DA7242" w:rsidRDefault="003D4486"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NSFR - Required Stable Funding</w:t>
            </w:r>
          </w:p>
          <w:p w14:paraId="68310A51" w14:textId="77777777" w:rsidR="003D4486" w:rsidRPr="00DA7242" w:rsidRDefault="003D4486" w:rsidP="00994C51">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total amount of Required Stable Funding amount </w:t>
            </w:r>
            <w:r w:rsidR="00473296" w:rsidRPr="00DA7242">
              <w:rPr>
                <w:rFonts w:ascii="Arial" w:hAnsi="Arial" w:cs="Arial"/>
                <w:spacing w:val="-1"/>
                <w:sz w:val="20"/>
                <w:szCs w:val="20"/>
              </w:rPr>
              <w:t xml:space="preserve">according to the instructions provided in the Liquidity section of the Short Term Exercise </w:t>
            </w:r>
            <w:r w:rsidR="00473296" w:rsidRPr="00DA7242">
              <w:rPr>
                <w:rFonts w:ascii="Arial" w:hAnsi="Arial" w:cs="Arial"/>
                <w:sz w:val="20"/>
                <w:szCs w:val="20"/>
                <w:lang w:val="en-GB"/>
              </w:rPr>
              <w:t>collected for SREP purposes (STE)</w:t>
            </w:r>
            <w:r w:rsidR="003B4D8B" w:rsidRPr="00DA7242">
              <w:rPr>
                <w:rFonts w:ascii="Arial" w:hAnsi="Arial" w:cs="Arial"/>
                <w:sz w:val="20"/>
                <w:szCs w:val="20"/>
                <w:lang w:val="en-GB"/>
              </w:rPr>
              <w:t>.</w:t>
            </w:r>
          </w:p>
          <w:p w14:paraId="3C65B91E" w14:textId="77777777" w:rsidR="003D4486" w:rsidRPr="00DA7242" w:rsidRDefault="003D4486" w:rsidP="00994C51">
            <w:pPr>
              <w:pStyle w:val="TableParagraph"/>
              <w:spacing w:before="117"/>
              <w:ind w:left="102"/>
              <w:rPr>
                <w:rFonts w:ascii="Arial" w:eastAsia="Times New Roman" w:hAnsi="Arial" w:cs="Arial"/>
                <w:sz w:val="20"/>
                <w:szCs w:val="20"/>
              </w:rPr>
            </w:pPr>
          </w:p>
        </w:tc>
      </w:tr>
      <w:tr w:rsidR="003D4486" w:rsidRPr="00DA7242" w14:paraId="588C449A" w14:textId="77777777" w:rsidTr="0035689D">
        <w:trPr>
          <w:trHeight w:val="304"/>
        </w:trPr>
        <w:tc>
          <w:tcPr>
            <w:tcW w:w="1418" w:type="dxa"/>
          </w:tcPr>
          <w:p w14:paraId="0CD4818C"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2.3</w:t>
            </w:r>
          </w:p>
        </w:tc>
        <w:tc>
          <w:tcPr>
            <w:tcW w:w="1418" w:type="dxa"/>
          </w:tcPr>
          <w:p w14:paraId="4F7A8DE2"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0050</w:t>
            </w:r>
          </w:p>
        </w:tc>
        <w:tc>
          <w:tcPr>
            <w:tcW w:w="6911" w:type="dxa"/>
          </w:tcPr>
          <w:p w14:paraId="2BA1EF85" w14:textId="77777777" w:rsidR="003D4486" w:rsidRPr="00DA7242" w:rsidRDefault="003D4486"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CBC eligible for internal reporting purposes</w:t>
            </w:r>
          </w:p>
          <w:p w14:paraId="7E6E81AD" w14:textId="77777777" w:rsidR="003D4486" w:rsidRPr="00DA7242" w:rsidRDefault="003D4486"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The total amount of counterbalancing capacity that is recognized internally for internal liquidity assessments and managerial reporting purposes</w:t>
            </w:r>
            <w:r w:rsidR="003B4D8B" w:rsidRPr="00DA7242">
              <w:rPr>
                <w:rFonts w:ascii="Arial" w:hAnsi="Arial" w:cs="Arial"/>
                <w:spacing w:val="-1"/>
                <w:sz w:val="20"/>
                <w:szCs w:val="20"/>
              </w:rPr>
              <w:t>.</w:t>
            </w:r>
          </w:p>
          <w:p w14:paraId="7071CB2C" w14:textId="77777777" w:rsidR="003D4486" w:rsidRPr="00DA7242" w:rsidRDefault="003D4486" w:rsidP="00994C51">
            <w:pPr>
              <w:pStyle w:val="TableParagraph"/>
              <w:spacing w:before="117"/>
              <w:ind w:left="102"/>
              <w:rPr>
                <w:rFonts w:ascii="Arial" w:hAnsi="Arial" w:cs="Arial"/>
                <w:b/>
                <w:sz w:val="20"/>
                <w:szCs w:val="20"/>
                <w:u w:val="thick" w:color="000000"/>
              </w:rPr>
            </w:pPr>
          </w:p>
        </w:tc>
      </w:tr>
      <w:tr w:rsidR="003769A3" w:rsidRPr="00DA7242" w14:paraId="3044DD3D" w14:textId="77777777" w:rsidTr="0035689D">
        <w:trPr>
          <w:trHeight w:val="304"/>
        </w:trPr>
        <w:tc>
          <w:tcPr>
            <w:tcW w:w="1418" w:type="dxa"/>
          </w:tcPr>
          <w:p w14:paraId="5370D167"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2A1E2C4B"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0010 - 0040</w:t>
            </w:r>
          </w:p>
        </w:tc>
        <w:tc>
          <w:tcPr>
            <w:tcW w:w="6911" w:type="dxa"/>
          </w:tcPr>
          <w:p w14:paraId="629604D9" w14:textId="77777777" w:rsidR="003769A3" w:rsidRPr="00DA7242" w:rsidRDefault="003769A3" w:rsidP="00994C51">
            <w:pPr>
              <w:pStyle w:val="TableParagraph"/>
              <w:spacing w:before="117"/>
              <w:ind w:left="102"/>
              <w:rPr>
                <w:rFonts w:ascii="Arial" w:hAnsi="Arial" w:cs="Arial"/>
                <w:b/>
                <w:sz w:val="20"/>
                <w:szCs w:val="20"/>
                <w:u w:val="thick" w:color="000000"/>
              </w:rPr>
            </w:pPr>
            <w:r w:rsidRPr="00DA7242">
              <w:rPr>
                <w:rFonts w:ascii="Arial" w:hAnsi="Arial" w:cs="Arial"/>
                <w:spacing w:val="-1"/>
                <w:sz w:val="20"/>
                <w:szCs w:val="20"/>
              </w:rPr>
              <w:t>The figures related to staff should be expressed in Full Time Equivalent (FTEs) and referred to the internal perimeter of the institution (i.e. excluding subcontractors or third party staff)</w:t>
            </w:r>
            <w:r w:rsidRPr="00DA7242">
              <w:rPr>
                <w:rFonts w:ascii="Arial" w:hAnsi="Arial" w:cs="Arial"/>
                <w:b/>
                <w:sz w:val="20"/>
                <w:szCs w:val="20"/>
                <w:u w:val="thick" w:color="000000"/>
              </w:rPr>
              <w:t xml:space="preserve"> </w:t>
            </w:r>
          </w:p>
        </w:tc>
      </w:tr>
      <w:tr w:rsidR="0049698A" w:rsidRPr="00DA7242" w14:paraId="74BDF5A3" w14:textId="77777777" w:rsidTr="0035689D">
        <w:trPr>
          <w:trHeight w:val="304"/>
        </w:trPr>
        <w:tc>
          <w:tcPr>
            <w:tcW w:w="1418" w:type="dxa"/>
          </w:tcPr>
          <w:p w14:paraId="6A359BB9" w14:textId="36857011" w:rsidR="0049698A" w:rsidRPr="00DA7242" w:rsidRDefault="0049698A" w:rsidP="00994C51">
            <w:pPr>
              <w:pStyle w:val="TableParagraph"/>
              <w:spacing w:before="118"/>
              <w:ind w:left="57" w:right="96"/>
              <w:jc w:val="both"/>
              <w:rPr>
                <w:rFonts w:ascii="Arial" w:eastAsia="Times New Roman" w:hAnsi="Arial" w:cs="Arial"/>
                <w:sz w:val="20"/>
                <w:szCs w:val="20"/>
              </w:rPr>
            </w:pPr>
            <w:r w:rsidRPr="00913EB5">
              <w:rPr>
                <w:rFonts w:ascii="Arial" w:eastAsia="Times New Roman" w:hAnsi="Arial" w:cs="Arial"/>
                <w:sz w:val="20"/>
                <w:szCs w:val="20"/>
                <w:highlight w:val="yellow"/>
              </w:rPr>
              <w:t>Table 3.1</w:t>
            </w:r>
          </w:p>
        </w:tc>
        <w:tc>
          <w:tcPr>
            <w:tcW w:w="1418" w:type="dxa"/>
          </w:tcPr>
          <w:p w14:paraId="25A40364" w14:textId="38290DC6" w:rsidR="0049698A" w:rsidRPr="00DA7242" w:rsidRDefault="0049698A" w:rsidP="00994C51">
            <w:pPr>
              <w:pStyle w:val="TableParagraph"/>
              <w:spacing w:before="118"/>
              <w:ind w:left="57" w:right="96"/>
              <w:jc w:val="both"/>
              <w:rPr>
                <w:rFonts w:ascii="Arial" w:eastAsia="Times New Roman" w:hAnsi="Arial" w:cs="Arial"/>
                <w:sz w:val="20"/>
                <w:szCs w:val="20"/>
              </w:rPr>
            </w:pPr>
            <w:r w:rsidRPr="00913EB5">
              <w:rPr>
                <w:rFonts w:ascii="Arial" w:eastAsia="Times New Roman" w:hAnsi="Arial" w:cs="Arial"/>
                <w:sz w:val="20"/>
                <w:szCs w:val="20"/>
                <w:highlight w:val="yellow"/>
              </w:rPr>
              <w:t>0020</w:t>
            </w:r>
          </w:p>
        </w:tc>
        <w:tc>
          <w:tcPr>
            <w:tcW w:w="6911" w:type="dxa"/>
          </w:tcPr>
          <w:p w14:paraId="66578712" w14:textId="517DB627" w:rsidR="0049698A" w:rsidRPr="00913EB5" w:rsidRDefault="0049698A" w:rsidP="0049698A">
            <w:pPr>
              <w:pStyle w:val="TableParagraph"/>
              <w:spacing w:before="117"/>
              <w:ind w:left="102"/>
              <w:rPr>
                <w:rFonts w:ascii="Arial" w:hAnsi="Arial" w:cs="Arial"/>
                <w:b/>
                <w:sz w:val="20"/>
                <w:szCs w:val="20"/>
                <w:highlight w:val="yellow"/>
                <w:u w:val="thick" w:color="000000"/>
              </w:rPr>
            </w:pPr>
            <w:r w:rsidRPr="00913EB5">
              <w:rPr>
                <w:rFonts w:ascii="Arial" w:hAnsi="Arial" w:cs="Arial"/>
                <w:b/>
                <w:sz w:val="20"/>
                <w:szCs w:val="20"/>
                <w:highlight w:val="yellow"/>
                <w:u w:val="thick" w:color="000000"/>
              </w:rPr>
              <w:t>Of which: able to work remotely (maximum remote working capacity)</w:t>
            </w:r>
          </w:p>
          <w:p w14:paraId="2022DE7C" w14:textId="288B86C2" w:rsidR="0049698A" w:rsidRPr="00B43B69" w:rsidRDefault="0049698A" w:rsidP="000F5ABE">
            <w:pPr>
              <w:pStyle w:val="TableParagraph"/>
              <w:spacing w:before="117"/>
              <w:ind w:left="102"/>
              <w:rPr>
                <w:rFonts w:ascii="Arial" w:hAnsi="Arial" w:cs="Arial"/>
                <w:spacing w:val="-1"/>
                <w:sz w:val="20"/>
                <w:szCs w:val="20"/>
                <w:highlight w:val="yellow"/>
              </w:rPr>
            </w:pPr>
            <w:r w:rsidRPr="00913EB5">
              <w:rPr>
                <w:rFonts w:ascii="Arial" w:hAnsi="Arial" w:cs="Arial"/>
                <w:spacing w:val="-1"/>
                <w:sz w:val="20"/>
                <w:szCs w:val="20"/>
                <w:highlight w:val="yellow"/>
              </w:rPr>
              <w:t>The figures related to the maximum working capacity for remote working (expressed in FTEs) which a bank can initiate. The bank should report the lower between the technical capacity (i.e. how many staff member</w:t>
            </w:r>
            <w:r w:rsidR="00CC11E8" w:rsidRPr="00913EB5">
              <w:rPr>
                <w:rFonts w:ascii="Arial" w:hAnsi="Arial" w:cs="Arial"/>
                <w:spacing w:val="-1"/>
                <w:sz w:val="20"/>
                <w:szCs w:val="20"/>
                <w:highlight w:val="yellow"/>
              </w:rPr>
              <w:t>s</w:t>
            </w:r>
            <w:r w:rsidRPr="00913EB5">
              <w:rPr>
                <w:rFonts w:ascii="Arial" w:hAnsi="Arial" w:cs="Arial"/>
                <w:spacing w:val="-1"/>
                <w:sz w:val="20"/>
                <w:szCs w:val="20"/>
                <w:highlight w:val="yellow"/>
              </w:rPr>
              <w:t xml:space="preserve"> have the technical prerequisites and can be </w:t>
            </w:r>
            <w:r w:rsidR="00CC11E8" w:rsidRPr="00913EB5">
              <w:rPr>
                <w:rFonts w:ascii="Arial" w:hAnsi="Arial" w:cs="Arial"/>
                <w:spacing w:val="-1"/>
                <w:sz w:val="20"/>
                <w:szCs w:val="20"/>
                <w:highlight w:val="yellow"/>
              </w:rPr>
              <w:t>simultaneously sustained</w:t>
            </w:r>
            <w:r w:rsidRPr="00913EB5">
              <w:rPr>
                <w:rFonts w:ascii="Arial" w:hAnsi="Arial" w:cs="Arial"/>
                <w:spacing w:val="-1"/>
                <w:sz w:val="20"/>
                <w:szCs w:val="20"/>
                <w:highlight w:val="yellow"/>
              </w:rPr>
              <w:t xml:space="preserve"> by the technical environment </w:t>
            </w:r>
            <w:r w:rsidR="00CC11E8" w:rsidRPr="00913EB5">
              <w:rPr>
                <w:rFonts w:ascii="Arial" w:hAnsi="Arial" w:cs="Arial"/>
                <w:spacing w:val="-1"/>
                <w:sz w:val="20"/>
                <w:szCs w:val="20"/>
                <w:highlight w:val="yellow"/>
              </w:rPr>
              <w:t>in remote working</w:t>
            </w:r>
            <w:r w:rsidRPr="00913EB5">
              <w:rPr>
                <w:rFonts w:ascii="Arial" w:hAnsi="Arial" w:cs="Arial"/>
                <w:spacing w:val="-1"/>
                <w:sz w:val="20"/>
                <w:szCs w:val="20"/>
                <w:highlight w:val="yellow"/>
              </w:rPr>
              <w:t xml:space="preserve">) and the process capacity (i.e. how many staff members can perform their tasks off-premises). </w:t>
            </w:r>
            <w:r w:rsidR="00CC11E8" w:rsidRPr="00913EB5">
              <w:rPr>
                <w:rFonts w:ascii="Arial" w:hAnsi="Arial" w:cs="Arial"/>
                <w:spacing w:val="-1"/>
                <w:sz w:val="20"/>
                <w:szCs w:val="20"/>
                <w:highlight w:val="yellow"/>
              </w:rPr>
              <w:t>For instance, if the process capacity is 800 (because out of 1000 total FTEs, 200 must be on site) but the technical capacity is 1000, then the reported number should be 800. The number reported should also reflect the real capacity of the staff to work remotely i.e. if 400 FTEs can work remotely but concretely the technical environment can only handle 200 simultaneous connections then the reported number should be 200.</w:t>
            </w:r>
          </w:p>
        </w:tc>
      </w:tr>
      <w:tr w:rsidR="00174455" w:rsidRPr="00DA7242" w14:paraId="1282C892" w14:textId="77777777" w:rsidTr="0035689D">
        <w:trPr>
          <w:trHeight w:val="304"/>
        </w:trPr>
        <w:tc>
          <w:tcPr>
            <w:tcW w:w="1418" w:type="dxa"/>
          </w:tcPr>
          <w:p w14:paraId="160C6A69" w14:textId="61BF099D"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Table 3.1</w:t>
            </w:r>
          </w:p>
        </w:tc>
        <w:tc>
          <w:tcPr>
            <w:tcW w:w="1418" w:type="dxa"/>
          </w:tcPr>
          <w:p w14:paraId="755B02DA" w14:textId="66AC0960"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0040</w:t>
            </w:r>
          </w:p>
        </w:tc>
        <w:tc>
          <w:tcPr>
            <w:tcW w:w="6911" w:type="dxa"/>
          </w:tcPr>
          <w:p w14:paraId="1CDB36CB" w14:textId="77777777" w:rsidR="00174455" w:rsidRPr="001C0E38" w:rsidRDefault="00174455" w:rsidP="00174455">
            <w:pPr>
              <w:pStyle w:val="TableParagraph"/>
              <w:spacing w:before="117"/>
              <w:ind w:left="102"/>
              <w:rPr>
                <w:rFonts w:ascii="Arial" w:hAnsi="Arial" w:cs="Arial"/>
                <w:spacing w:val="-1"/>
                <w:sz w:val="20"/>
                <w:szCs w:val="20"/>
              </w:rPr>
            </w:pPr>
            <w:r>
              <w:rPr>
                <w:rFonts w:ascii="Arial" w:hAnsi="Arial" w:cs="Arial"/>
                <w:b/>
                <w:sz w:val="20"/>
                <w:szCs w:val="20"/>
                <w:u w:val="thick" w:color="000000"/>
              </w:rPr>
              <w:t>Of which: not available</w:t>
            </w:r>
          </w:p>
          <w:p w14:paraId="7F23276E" w14:textId="0BAED793" w:rsidR="00174455" w:rsidRDefault="00174455" w:rsidP="00174455">
            <w:pPr>
              <w:pStyle w:val="TableParagraph"/>
              <w:spacing w:before="117"/>
              <w:ind w:left="102"/>
              <w:rPr>
                <w:rFonts w:ascii="Arial" w:hAnsi="Arial" w:cs="Arial"/>
                <w:spacing w:val="-1"/>
                <w:sz w:val="20"/>
                <w:szCs w:val="20"/>
              </w:rPr>
            </w:pPr>
            <w:r>
              <w:rPr>
                <w:rFonts w:ascii="Arial" w:hAnsi="Arial" w:cs="Arial"/>
                <w:spacing w:val="-1"/>
                <w:sz w:val="20"/>
                <w:szCs w:val="20"/>
              </w:rPr>
              <w:t xml:space="preserve">The figures related to staff (expressed in FTEs) which cannot perform the tasks they would be normally assigned to because of reasons directly or </w:t>
            </w:r>
            <w:r w:rsidR="002620DD">
              <w:rPr>
                <w:rFonts w:ascii="Arial" w:hAnsi="Arial" w:cs="Arial"/>
                <w:spacing w:val="-1"/>
                <w:sz w:val="20"/>
                <w:szCs w:val="20"/>
              </w:rPr>
              <w:t>in</w:t>
            </w:r>
            <w:r>
              <w:rPr>
                <w:rFonts w:ascii="Arial" w:hAnsi="Arial" w:cs="Arial"/>
                <w:spacing w:val="-1"/>
                <w:sz w:val="20"/>
                <w:szCs w:val="20"/>
              </w:rPr>
              <w:t>directly connected to Covid-19 (e.g. staff member is infected by Covid-19, staff is quarantining without access to remote working etc.).</w:t>
            </w:r>
          </w:p>
          <w:p w14:paraId="3F8954B0" w14:textId="472F5D82" w:rsidR="00174455" w:rsidRPr="00DA7242" w:rsidRDefault="00174455" w:rsidP="00174455">
            <w:pPr>
              <w:pStyle w:val="TableParagraph"/>
              <w:spacing w:before="117"/>
              <w:ind w:left="102"/>
              <w:rPr>
                <w:rFonts w:ascii="Arial" w:hAnsi="Arial" w:cs="Arial"/>
                <w:spacing w:val="-1"/>
                <w:sz w:val="20"/>
                <w:szCs w:val="20"/>
              </w:rPr>
            </w:pPr>
          </w:p>
        </w:tc>
      </w:tr>
      <w:tr w:rsidR="003769A3" w:rsidRPr="00DA7242" w14:paraId="5504280C" w14:textId="77777777" w:rsidTr="0035689D">
        <w:trPr>
          <w:trHeight w:val="304"/>
        </w:trPr>
        <w:tc>
          <w:tcPr>
            <w:tcW w:w="1418" w:type="dxa"/>
          </w:tcPr>
          <w:p w14:paraId="5CE82FEB" w14:textId="02AC93B0"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52834481"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0070</w:t>
            </w:r>
          </w:p>
        </w:tc>
        <w:tc>
          <w:tcPr>
            <w:tcW w:w="6911" w:type="dxa"/>
          </w:tcPr>
          <w:p w14:paraId="10E7E58E" w14:textId="77777777"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b/>
                <w:sz w:val="20"/>
                <w:szCs w:val="20"/>
                <w:u w:val="thick" w:color="000000"/>
              </w:rPr>
              <w:t>Number of customer complaints received</w:t>
            </w:r>
          </w:p>
          <w:p w14:paraId="2B5E2026" w14:textId="77777777"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consider here the number of complaints received that are connected with business continuity issues experiences at the institutions (e.g. system unavailability, longer time to respond to customers etc.)</w:t>
            </w:r>
          </w:p>
        </w:tc>
      </w:tr>
      <w:tr w:rsidR="003769A3" w:rsidRPr="00DA7242" w14:paraId="1E3EFD40" w14:textId="77777777" w:rsidTr="0035689D">
        <w:trPr>
          <w:trHeight w:val="304"/>
        </w:trPr>
        <w:tc>
          <w:tcPr>
            <w:tcW w:w="1418" w:type="dxa"/>
          </w:tcPr>
          <w:p w14:paraId="1B8130D3"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463AC7AC"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0100</w:t>
            </w:r>
          </w:p>
        </w:tc>
        <w:tc>
          <w:tcPr>
            <w:tcW w:w="6911" w:type="dxa"/>
          </w:tcPr>
          <w:p w14:paraId="580AF417" w14:textId="77777777" w:rsidR="003769A3" w:rsidRPr="00DA7242" w:rsidRDefault="003769A3"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Average amount withdrawn at ATM/Branches (net withdrawals)</w:t>
            </w:r>
          </w:p>
          <w:p w14:paraId="3742F1B2" w14:textId="2CA2E88B"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lastRenderedPageBreak/>
              <w:t>Monthly average of daily net withdrawals i.e. sum of daily net withdrawals divided by the number of days of the month</w:t>
            </w:r>
            <w:r w:rsidR="00496AA5">
              <w:rPr>
                <w:rFonts w:ascii="Arial" w:hAnsi="Arial" w:cs="Arial"/>
                <w:spacing w:val="-1"/>
                <w:sz w:val="20"/>
                <w:szCs w:val="20"/>
              </w:rPr>
              <w:t xml:space="preserve">. </w:t>
            </w:r>
            <w:r w:rsidR="00496AA5" w:rsidRPr="00B43B69">
              <w:rPr>
                <w:rFonts w:ascii="Arial" w:hAnsi="Arial" w:cs="Arial"/>
                <w:spacing w:val="-1"/>
                <w:sz w:val="20"/>
                <w:szCs w:val="20"/>
              </w:rPr>
              <w:t>A positive value (respectively negative) should be expected for daily net amounts where withdrawals are higher (respectively lower) than deposit</w:t>
            </w:r>
            <w:r w:rsidR="007379D8" w:rsidRPr="00B43B69">
              <w:rPr>
                <w:rFonts w:ascii="Arial" w:hAnsi="Arial" w:cs="Arial"/>
                <w:spacing w:val="-1"/>
                <w:sz w:val="20"/>
                <w:szCs w:val="20"/>
              </w:rPr>
              <w:t xml:space="preserve"> inflows</w:t>
            </w:r>
            <w:r w:rsidR="00496AA5" w:rsidRPr="00B43B69">
              <w:rPr>
                <w:rFonts w:ascii="Arial" w:hAnsi="Arial" w:cs="Arial"/>
                <w:spacing w:val="-1"/>
                <w:sz w:val="20"/>
                <w:szCs w:val="20"/>
              </w:rPr>
              <w:t>.</w:t>
            </w:r>
          </w:p>
        </w:tc>
      </w:tr>
      <w:tr w:rsidR="003769A3" w:rsidRPr="00DA7242" w14:paraId="341E2038" w14:textId="77777777" w:rsidTr="0035689D">
        <w:trPr>
          <w:trHeight w:val="304"/>
        </w:trPr>
        <w:tc>
          <w:tcPr>
            <w:tcW w:w="1418" w:type="dxa"/>
          </w:tcPr>
          <w:p w14:paraId="718653F1"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lastRenderedPageBreak/>
              <w:t>Table 3.1</w:t>
            </w:r>
          </w:p>
        </w:tc>
        <w:tc>
          <w:tcPr>
            <w:tcW w:w="1418" w:type="dxa"/>
          </w:tcPr>
          <w:p w14:paraId="494F40A2"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0110</w:t>
            </w:r>
          </w:p>
        </w:tc>
        <w:tc>
          <w:tcPr>
            <w:tcW w:w="6911" w:type="dxa"/>
          </w:tcPr>
          <w:p w14:paraId="006F58E7" w14:textId="77777777" w:rsidR="003769A3" w:rsidRPr="00DA7242" w:rsidRDefault="003769A3"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Total amount of intraday missed payments/settlements due to system failure</w:t>
            </w:r>
          </w:p>
          <w:p w14:paraId="4AB2456C" w14:textId="77777777"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Include any payments or settlements missed either as a result of IT issues on the institutions side or on your counterparty’s side. Please include both payments expected to be paid and received.</w:t>
            </w:r>
          </w:p>
        </w:tc>
      </w:tr>
      <w:tr w:rsidR="00174455" w:rsidRPr="00DA7242" w14:paraId="641624CF" w14:textId="77777777" w:rsidTr="0035689D">
        <w:trPr>
          <w:trHeight w:val="304"/>
        </w:trPr>
        <w:tc>
          <w:tcPr>
            <w:tcW w:w="1418" w:type="dxa"/>
          </w:tcPr>
          <w:p w14:paraId="73405526" w14:textId="408EF416"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Table 3.2</w:t>
            </w:r>
          </w:p>
        </w:tc>
        <w:tc>
          <w:tcPr>
            <w:tcW w:w="1418" w:type="dxa"/>
          </w:tcPr>
          <w:p w14:paraId="060F8706" w14:textId="4736D67E"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0010</w:t>
            </w:r>
          </w:p>
        </w:tc>
        <w:tc>
          <w:tcPr>
            <w:tcW w:w="6911" w:type="dxa"/>
          </w:tcPr>
          <w:p w14:paraId="0BDD8708" w14:textId="77777777" w:rsidR="00174455" w:rsidRDefault="00174455" w:rsidP="00174455">
            <w:pPr>
              <w:pStyle w:val="TableParagraph"/>
              <w:spacing w:before="117"/>
              <w:ind w:left="102"/>
              <w:rPr>
                <w:rFonts w:ascii="Arial" w:hAnsi="Arial" w:cs="Arial"/>
                <w:b/>
                <w:sz w:val="20"/>
                <w:szCs w:val="20"/>
                <w:u w:val="thick" w:color="000000"/>
              </w:rPr>
            </w:pPr>
            <w:r>
              <w:rPr>
                <w:rFonts w:ascii="Arial" w:hAnsi="Arial" w:cs="Arial"/>
                <w:b/>
                <w:sz w:val="20"/>
                <w:szCs w:val="20"/>
                <w:u w:val="thick" w:color="000000"/>
              </w:rPr>
              <w:t>Operational incidents connected to Covid-19 outbreak</w:t>
            </w:r>
          </w:p>
          <w:p w14:paraId="1CBB9A2B" w14:textId="7C3055FA" w:rsidR="00174455" w:rsidRPr="00174455" w:rsidRDefault="00174455" w:rsidP="00994C51">
            <w:pPr>
              <w:pStyle w:val="TableParagraph"/>
              <w:spacing w:before="117"/>
              <w:ind w:left="102"/>
              <w:rPr>
                <w:rFonts w:ascii="Arial" w:hAnsi="Arial" w:cs="Arial"/>
                <w:spacing w:val="-1"/>
                <w:sz w:val="20"/>
                <w:szCs w:val="20"/>
              </w:rPr>
            </w:pPr>
            <w:r w:rsidRPr="008568CE">
              <w:rPr>
                <w:rFonts w:ascii="Arial" w:hAnsi="Arial" w:cs="Arial"/>
                <w:spacing w:val="-1"/>
                <w:sz w:val="20"/>
                <w:szCs w:val="20"/>
              </w:rPr>
              <w:t>Include here</w:t>
            </w:r>
            <w:r>
              <w:rPr>
                <w:rFonts w:ascii="Arial" w:hAnsi="Arial" w:cs="Arial"/>
                <w:spacing w:val="-1"/>
                <w:sz w:val="20"/>
                <w:szCs w:val="20"/>
              </w:rPr>
              <w:t xml:space="preserve"> figures for each column considering operational events directly or indirectly connected to the Covid-19 outbreak (e.g. unavailability of payment infrastructure due to system failure because of massive remote working due to Covid-19 etc.). Please consider only events occurred in the month of the reference date.</w:t>
            </w:r>
            <w:r w:rsidR="00B53D82">
              <w:rPr>
                <w:rFonts w:ascii="Arial" w:hAnsi="Arial" w:cs="Arial"/>
                <w:spacing w:val="-1"/>
                <w:sz w:val="20"/>
                <w:szCs w:val="20"/>
              </w:rPr>
              <w:t xml:space="preserve"> </w:t>
            </w:r>
            <w:r w:rsidR="00B53D82" w:rsidRPr="00B43B69">
              <w:rPr>
                <w:rFonts w:ascii="Arial" w:hAnsi="Arial" w:cs="Arial"/>
                <w:spacing w:val="-1"/>
                <w:sz w:val="20"/>
                <w:szCs w:val="20"/>
              </w:rPr>
              <w:t>Loss events should be only reported once. It should be reported in the month which includes the date of discovery (i.e. the date on which the institution became aware of the operational risk event) even if the operational event occurred in the past.</w:t>
            </w:r>
          </w:p>
        </w:tc>
      </w:tr>
    </w:tbl>
    <w:p w14:paraId="02C6DD70" w14:textId="77777777" w:rsidR="00334449" w:rsidRPr="00DA7242" w:rsidRDefault="00334449" w:rsidP="00334449">
      <w:pPr>
        <w:rPr>
          <w:rFonts w:ascii="Arial" w:hAnsi="Arial" w:cs="Arial"/>
          <w:sz w:val="20"/>
          <w:szCs w:val="20"/>
        </w:rPr>
      </w:pPr>
    </w:p>
    <w:p w14:paraId="2229C40B" w14:textId="683D7188" w:rsidR="00334449" w:rsidRPr="0035689D" w:rsidRDefault="00A60155" w:rsidP="0035689D">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Instructions concerning specific columns: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6911"/>
      </w:tblGrid>
      <w:tr w:rsidR="00A60155" w:rsidRPr="00DA7242" w14:paraId="580689E2" w14:textId="77777777" w:rsidTr="0035689D">
        <w:trPr>
          <w:trHeight w:val="304"/>
        </w:trPr>
        <w:tc>
          <w:tcPr>
            <w:tcW w:w="1418" w:type="dxa"/>
            <w:shd w:val="clear" w:color="auto" w:fill="D9D9D9" w:themeFill="background1" w:themeFillShade="D9"/>
          </w:tcPr>
          <w:p w14:paraId="37528FDF" w14:textId="77777777" w:rsidR="00A60155" w:rsidRPr="00DA7242" w:rsidRDefault="00A60155" w:rsidP="00994C51">
            <w:pPr>
              <w:pStyle w:val="TableParagraph"/>
              <w:spacing w:before="117" w:after="120"/>
              <w:ind w:left="102"/>
              <w:rPr>
                <w:rFonts w:ascii="Arial" w:hAnsi="Arial" w:cs="Arial"/>
                <w:spacing w:val="-1"/>
                <w:sz w:val="20"/>
                <w:szCs w:val="20"/>
              </w:rPr>
            </w:pPr>
            <w:r w:rsidRPr="00DA7242">
              <w:rPr>
                <w:rFonts w:ascii="Arial" w:hAnsi="Arial" w:cs="Arial"/>
                <w:spacing w:val="-1"/>
                <w:sz w:val="20"/>
                <w:szCs w:val="20"/>
              </w:rPr>
              <w:t>Table</w:t>
            </w:r>
          </w:p>
        </w:tc>
        <w:tc>
          <w:tcPr>
            <w:tcW w:w="1418" w:type="dxa"/>
            <w:shd w:val="clear" w:color="auto" w:fill="D9D9D9" w:themeFill="background1" w:themeFillShade="D9"/>
          </w:tcPr>
          <w:p w14:paraId="75663F7E" w14:textId="77777777" w:rsidR="00A60155" w:rsidRPr="00DA7242" w:rsidRDefault="00A60155" w:rsidP="00994C51">
            <w:pPr>
              <w:pStyle w:val="TableParagraph"/>
              <w:spacing w:before="117" w:after="120"/>
              <w:ind w:left="102"/>
              <w:rPr>
                <w:rFonts w:ascii="Arial" w:hAnsi="Arial" w:cs="Arial"/>
                <w:sz w:val="20"/>
                <w:szCs w:val="20"/>
              </w:rPr>
            </w:pPr>
            <w:r w:rsidRPr="00DA7242">
              <w:rPr>
                <w:rFonts w:ascii="Arial" w:hAnsi="Arial" w:cs="Arial"/>
                <w:spacing w:val="-1"/>
                <w:sz w:val="20"/>
                <w:szCs w:val="20"/>
              </w:rPr>
              <w:t>Column</w:t>
            </w:r>
          </w:p>
        </w:tc>
        <w:tc>
          <w:tcPr>
            <w:tcW w:w="6911" w:type="dxa"/>
            <w:shd w:val="clear" w:color="auto" w:fill="D9D9D9" w:themeFill="background1" w:themeFillShade="D9"/>
          </w:tcPr>
          <w:p w14:paraId="6E9EAAAC" w14:textId="77777777" w:rsidR="00A60155" w:rsidRPr="00DA7242" w:rsidRDefault="00A60155" w:rsidP="00994C51">
            <w:pPr>
              <w:pStyle w:val="TableParagraph"/>
              <w:spacing w:before="117" w:after="120"/>
              <w:ind w:left="102"/>
              <w:rPr>
                <w:rFonts w:ascii="Arial" w:hAnsi="Arial" w:cs="Arial"/>
                <w:bCs/>
                <w:sz w:val="20"/>
                <w:szCs w:val="20"/>
                <w:u w:val="single"/>
              </w:rPr>
            </w:pPr>
            <w:r w:rsidRPr="00DA7242">
              <w:rPr>
                <w:rFonts w:ascii="Arial" w:hAnsi="Arial" w:cs="Arial"/>
                <w:sz w:val="20"/>
                <w:szCs w:val="20"/>
              </w:rPr>
              <w:t xml:space="preserve">Legal </w:t>
            </w:r>
            <w:r w:rsidRPr="00DA7242">
              <w:rPr>
                <w:rFonts w:ascii="Arial" w:hAnsi="Arial" w:cs="Arial"/>
                <w:spacing w:val="-1"/>
                <w:sz w:val="20"/>
                <w:szCs w:val="20"/>
              </w:rPr>
              <w:t>references</w:t>
            </w:r>
            <w:r w:rsidRPr="00DA7242">
              <w:rPr>
                <w:rFonts w:ascii="Arial" w:hAnsi="Arial" w:cs="Arial"/>
                <w:sz w:val="20"/>
                <w:szCs w:val="20"/>
              </w:rPr>
              <w:t xml:space="preserve"> and instructions</w:t>
            </w:r>
          </w:p>
        </w:tc>
      </w:tr>
      <w:tr w:rsidR="00A60155" w:rsidRPr="00DA7242" w14:paraId="7A027C7D" w14:textId="77777777" w:rsidTr="0035689D">
        <w:trPr>
          <w:trHeight w:val="304"/>
        </w:trPr>
        <w:tc>
          <w:tcPr>
            <w:tcW w:w="1418" w:type="dxa"/>
          </w:tcPr>
          <w:p w14:paraId="0DE4979E"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1.1, 1.2, 1.3</w:t>
            </w:r>
          </w:p>
        </w:tc>
        <w:tc>
          <w:tcPr>
            <w:tcW w:w="1418" w:type="dxa"/>
          </w:tcPr>
          <w:p w14:paraId="15994D2F"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w:t>
            </w:r>
          </w:p>
        </w:tc>
        <w:tc>
          <w:tcPr>
            <w:tcW w:w="6911" w:type="dxa"/>
          </w:tcPr>
          <w:p w14:paraId="3532D42C" w14:textId="77777777" w:rsidR="00A60155" w:rsidRPr="00DA7242" w:rsidRDefault="00A60155" w:rsidP="00383BDC">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carrying amount as defined in Annex V of ITS on Supervisory reporting for the current reference date (0010) and the best effort estimate for the year-end projection (0020) based on the most </w:t>
            </w:r>
            <w:r w:rsidR="00383BDC" w:rsidRPr="00DA7242">
              <w:rPr>
                <w:rFonts w:ascii="Arial" w:hAnsi="Arial" w:cs="Arial"/>
                <w:spacing w:val="-1"/>
                <w:sz w:val="20"/>
                <w:szCs w:val="20"/>
              </w:rPr>
              <w:t>recent projections made by the reporting institution</w:t>
            </w:r>
            <w:r w:rsidRPr="00DA7242">
              <w:rPr>
                <w:rFonts w:ascii="Arial" w:hAnsi="Arial" w:cs="Arial"/>
                <w:spacing w:val="-1"/>
                <w:sz w:val="20"/>
                <w:szCs w:val="20"/>
              </w:rPr>
              <w:t xml:space="preserve"> </w:t>
            </w:r>
            <w:r w:rsidR="00383BDC" w:rsidRPr="00DA7242">
              <w:rPr>
                <w:rFonts w:ascii="Arial" w:hAnsi="Arial" w:cs="Arial"/>
                <w:spacing w:val="-1"/>
                <w:sz w:val="20"/>
                <w:szCs w:val="20"/>
              </w:rPr>
              <w:t>considering the effects of the COVID-19</w:t>
            </w:r>
            <w:r w:rsidR="00AC3943" w:rsidRPr="00DA7242">
              <w:rPr>
                <w:rFonts w:ascii="Arial" w:hAnsi="Arial" w:cs="Arial"/>
                <w:spacing w:val="-1"/>
                <w:sz w:val="20"/>
                <w:szCs w:val="20"/>
              </w:rPr>
              <w:t xml:space="preserve"> outbreak </w:t>
            </w:r>
            <w:r w:rsidR="00383BDC" w:rsidRPr="00DA7242">
              <w:rPr>
                <w:rFonts w:ascii="Arial" w:hAnsi="Arial" w:cs="Arial"/>
                <w:spacing w:val="-1"/>
                <w:sz w:val="20"/>
                <w:szCs w:val="20"/>
              </w:rPr>
              <w:t>and available at the corresponding reporting date.</w:t>
            </w:r>
          </w:p>
        </w:tc>
      </w:tr>
      <w:tr w:rsidR="00A60155" w:rsidRPr="00DA7242" w14:paraId="61CFAEB0" w14:textId="77777777" w:rsidTr="0035689D">
        <w:trPr>
          <w:trHeight w:val="304"/>
        </w:trPr>
        <w:tc>
          <w:tcPr>
            <w:tcW w:w="1418" w:type="dxa"/>
          </w:tcPr>
          <w:p w14:paraId="4C6EC5D0"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en-GB"/>
              </w:rPr>
            </w:pPr>
            <w:r w:rsidRPr="00DA7242">
              <w:rPr>
                <w:rFonts w:ascii="Arial" w:eastAsia="Times New Roman" w:hAnsi="Arial" w:cs="Arial"/>
                <w:sz w:val="20"/>
                <w:szCs w:val="20"/>
              </w:rPr>
              <w:t>Table 1.4</w:t>
            </w:r>
          </w:p>
        </w:tc>
        <w:tc>
          <w:tcPr>
            <w:tcW w:w="1418" w:type="dxa"/>
          </w:tcPr>
          <w:p w14:paraId="50A7A6E3"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w:t>
            </w:r>
          </w:p>
        </w:tc>
        <w:tc>
          <w:tcPr>
            <w:tcW w:w="6911" w:type="dxa"/>
          </w:tcPr>
          <w:p w14:paraId="4ABA22A3" w14:textId="77777777" w:rsidR="00A60155" w:rsidRPr="00DA7242" w:rsidRDefault="00A60155" w:rsidP="00383BDC">
            <w:pPr>
              <w:pStyle w:val="TableParagraph"/>
              <w:spacing w:before="117"/>
              <w:ind w:left="102"/>
              <w:rPr>
                <w:rFonts w:ascii="Arial" w:hAnsi="Arial" w:cs="Arial"/>
                <w:spacing w:val="-1"/>
                <w:sz w:val="20"/>
                <w:szCs w:val="20"/>
              </w:rPr>
            </w:pPr>
            <w:r w:rsidRPr="00DA7242">
              <w:rPr>
                <w:rFonts w:ascii="Arial" w:hAnsi="Arial" w:cs="Arial"/>
                <w:spacing w:val="-1"/>
                <w:sz w:val="20"/>
                <w:szCs w:val="20"/>
              </w:rPr>
              <w:t xml:space="preserve">The </w:t>
            </w:r>
            <w:r w:rsidR="00383BDC" w:rsidRPr="00DA7242">
              <w:rPr>
                <w:rFonts w:ascii="Arial" w:hAnsi="Arial" w:cs="Arial"/>
                <w:spacing w:val="-1"/>
                <w:sz w:val="20"/>
                <w:szCs w:val="20"/>
              </w:rPr>
              <w:t>amount</w:t>
            </w:r>
            <w:r w:rsidRPr="00DA7242">
              <w:rPr>
                <w:rFonts w:ascii="Arial" w:hAnsi="Arial" w:cs="Arial"/>
                <w:spacing w:val="-1"/>
                <w:sz w:val="20"/>
                <w:szCs w:val="20"/>
              </w:rPr>
              <w:t xml:space="preserve"> as defined in Annex V of ITS on Supervisory reporting for the current reference date (0010) </w:t>
            </w:r>
            <w:r w:rsidR="00383BDC" w:rsidRPr="00DA7242">
              <w:rPr>
                <w:rFonts w:ascii="Arial" w:hAnsi="Arial" w:cs="Arial"/>
                <w:spacing w:val="-1"/>
                <w:sz w:val="20"/>
                <w:szCs w:val="20"/>
              </w:rPr>
              <w:t>and the best effort estimate for the year-end projection (0020) based on the most recent projections made by the reporting institution considering the effects of the COVID-19</w:t>
            </w:r>
            <w:r w:rsidR="00AC3943" w:rsidRPr="00DA7242">
              <w:rPr>
                <w:rFonts w:ascii="Arial" w:hAnsi="Arial" w:cs="Arial"/>
                <w:spacing w:val="-1"/>
                <w:sz w:val="20"/>
                <w:szCs w:val="20"/>
              </w:rPr>
              <w:t xml:space="preserve"> outbreak </w:t>
            </w:r>
            <w:r w:rsidR="00383BDC" w:rsidRPr="00DA7242">
              <w:rPr>
                <w:rFonts w:ascii="Arial" w:hAnsi="Arial" w:cs="Arial"/>
                <w:spacing w:val="-1"/>
                <w:sz w:val="20"/>
                <w:szCs w:val="20"/>
              </w:rPr>
              <w:t>and available at the corresponding reporting date.</w:t>
            </w:r>
          </w:p>
        </w:tc>
      </w:tr>
      <w:tr w:rsidR="00A60155" w:rsidRPr="00DA7242" w14:paraId="33BF6A28" w14:textId="77777777" w:rsidTr="0035689D">
        <w:trPr>
          <w:trHeight w:val="304"/>
        </w:trPr>
        <w:tc>
          <w:tcPr>
            <w:tcW w:w="1418" w:type="dxa"/>
          </w:tcPr>
          <w:p w14:paraId="776D9038"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 xml:space="preserve">Table 2.1, 2.2 </w:t>
            </w:r>
          </w:p>
        </w:tc>
        <w:tc>
          <w:tcPr>
            <w:tcW w:w="1418" w:type="dxa"/>
          </w:tcPr>
          <w:p w14:paraId="41429EF8"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w:t>
            </w:r>
          </w:p>
        </w:tc>
        <w:tc>
          <w:tcPr>
            <w:tcW w:w="6911" w:type="dxa"/>
          </w:tcPr>
          <w:p w14:paraId="33D955DA" w14:textId="77777777" w:rsidR="00A60155" w:rsidRPr="00DA7242" w:rsidRDefault="00A60155" w:rsidP="00AC3943">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amount as defined in Annex II of ITS on Supervisory reporting for the current reference date (0010) </w:t>
            </w:r>
            <w:r w:rsidR="00383BDC" w:rsidRPr="00DA7242">
              <w:rPr>
                <w:rFonts w:ascii="Arial" w:hAnsi="Arial" w:cs="Arial"/>
                <w:spacing w:val="-1"/>
                <w:sz w:val="20"/>
                <w:szCs w:val="20"/>
              </w:rPr>
              <w:t>and the best effort estimate for the year-end projection (0020) based on the most recent projections made by the reporting institution considering the effects of the COVID-19 outbreak</w:t>
            </w:r>
            <w:r w:rsidR="00AC3943" w:rsidRPr="00DA7242">
              <w:rPr>
                <w:rFonts w:ascii="Arial" w:hAnsi="Arial" w:cs="Arial"/>
                <w:spacing w:val="-1"/>
                <w:sz w:val="20"/>
                <w:szCs w:val="20"/>
              </w:rPr>
              <w:t xml:space="preserve"> </w:t>
            </w:r>
            <w:r w:rsidR="00383BDC" w:rsidRPr="00DA7242">
              <w:rPr>
                <w:rFonts w:ascii="Arial" w:hAnsi="Arial" w:cs="Arial"/>
                <w:spacing w:val="-1"/>
                <w:sz w:val="20"/>
                <w:szCs w:val="20"/>
              </w:rPr>
              <w:t>and available at the corresponding reporting date.</w:t>
            </w:r>
          </w:p>
        </w:tc>
      </w:tr>
      <w:tr w:rsidR="00A60155" w:rsidRPr="00DA7242" w14:paraId="6BD28056" w14:textId="77777777" w:rsidTr="0035689D">
        <w:trPr>
          <w:trHeight w:val="304"/>
        </w:trPr>
        <w:tc>
          <w:tcPr>
            <w:tcW w:w="1418" w:type="dxa"/>
          </w:tcPr>
          <w:p w14:paraId="515851D4"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2.3</w:t>
            </w:r>
          </w:p>
        </w:tc>
        <w:tc>
          <w:tcPr>
            <w:tcW w:w="1418" w:type="dxa"/>
          </w:tcPr>
          <w:p w14:paraId="44480EED"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0010, 0020, 0030</w:t>
            </w:r>
          </w:p>
        </w:tc>
        <w:tc>
          <w:tcPr>
            <w:tcW w:w="6911" w:type="dxa"/>
          </w:tcPr>
          <w:p w14:paraId="1B717CEE" w14:textId="77777777" w:rsidR="00A60155" w:rsidRPr="00DA7242" w:rsidRDefault="00A60155" w:rsidP="003B4D8B">
            <w:pPr>
              <w:pStyle w:val="TableParagraph"/>
              <w:spacing w:before="117"/>
              <w:ind w:left="102"/>
              <w:rPr>
                <w:rFonts w:ascii="Arial" w:hAnsi="Arial" w:cs="Arial"/>
                <w:spacing w:val="-1"/>
                <w:sz w:val="20"/>
                <w:szCs w:val="20"/>
              </w:rPr>
            </w:pPr>
            <w:r w:rsidRPr="00DA7242">
              <w:rPr>
                <w:rFonts w:ascii="Arial" w:hAnsi="Arial" w:cs="Arial"/>
                <w:spacing w:val="-1"/>
                <w:sz w:val="20"/>
                <w:szCs w:val="20"/>
              </w:rPr>
              <w:t xml:space="preserve">The value (rows 0010 and 0020) as defined in Annex II of ITS on Supervisory reporting, the total </w:t>
            </w:r>
            <w:r w:rsidR="00473296" w:rsidRPr="00DA7242">
              <w:rPr>
                <w:rFonts w:ascii="Arial" w:hAnsi="Arial" w:cs="Arial"/>
                <w:spacing w:val="-1"/>
                <w:sz w:val="20"/>
                <w:szCs w:val="20"/>
              </w:rPr>
              <w:t xml:space="preserve">(rows 0030 and 0040) according to the instructions provided in the Liquidity section of the Short Term Exercise </w:t>
            </w:r>
            <w:r w:rsidR="00473296" w:rsidRPr="00DA7242">
              <w:rPr>
                <w:rFonts w:ascii="Arial" w:hAnsi="Arial" w:cs="Arial"/>
                <w:sz w:val="20"/>
                <w:szCs w:val="20"/>
                <w:lang w:val="en-GB"/>
              </w:rPr>
              <w:t>collected for SREP purposes (STE)</w:t>
            </w:r>
            <w:r w:rsidR="00473296" w:rsidRPr="00DA7242">
              <w:rPr>
                <w:rFonts w:ascii="Arial" w:hAnsi="Arial" w:cs="Arial"/>
                <w:spacing w:val="-1"/>
                <w:sz w:val="20"/>
                <w:szCs w:val="20"/>
              </w:rPr>
              <w:t xml:space="preserve"> </w:t>
            </w:r>
            <w:r w:rsidRPr="00DA7242">
              <w:rPr>
                <w:rFonts w:ascii="Arial" w:hAnsi="Arial" w:cs="Arial"/>
                <w:spacing w:val="-1"/>
                <w:sz w:val="20"/>
                <w:szCs w:val="20"/>
              </w:rPr>
              <w:t>and the internal estimation (row 0050) for the current reference date (0010), the best effort estimate for the current reference period plus one additional month (0020) for rows 0010, 0020 and 0050</w:t>
            </w:r>
            <w:r w:rsidR="003B4D8B" w:rsidRPr="00DA7242">
              <w:rPr>
                <w:rFonts w:ascii="Arial" w:hAnsi="Arial" w:cs="Arial"/>
                <w:spacing w:val="-1"/>
                <w:sz w:val="20"/>
                <w:szCs w:val="20"/>
              </w:rPr>
              <w:t>.</w:t>
            </w:r>
          </w:p>
        </w:tc>
      </w:tr>
      <w:tr w:rsidR="00A60155" w:rsidRPr="00DA7242" w14:paraId="31DE50DB" w14:textId="77777777" w:rsidTr="0035689D">
        <w:trPr>
          <w:trHeight w:val="304"/>
        </w:trPr>
        <w:tc>
          <w:tcPr>
            <w:tcW w:w="1418" w:type="dxa"/>
          </w:tcPr>
          <w:p w14:paraId="05926732"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2.4</w:t>
            </w:r>
          </w:p>
        </w:tc>
        <w:tc>
          <w:tcPr>
            <w:tcW w:w="1418" w:type="dxa"/>
          </w:tcPr>
          <w:p w14:paraId="5C8D97B1"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Pr>
          <w:p w14:paraId="3F0159C9" w14:textId="4724E0F8" w:rsidR="00A60155" w:rsidRPr="00DA7242" w:rsidRDefault="00A60155" w:rsidP="00CE143E">
            <w:pPr>
              <w:pStyle w:val="TableParagraph"/>
              <w:spacing w:before="117"/>
              <w:ind w:left="102"/>
              <w:rPr>
                <w:rFonts w:ascii="Arial" w:hAnsi="Arial" w:cs="Arial"/>
                <w:spacing w:val="-1"/>
                <w:sz w:val="20"/>
                <w:szCs w:val="20"/>
              </w:rPr>
            </w:pPr>
            <w:r w:rsidRPr="00DA7242">
              <w:rPr>
                <w:rFonts w:ascii="Arial" w:hAnsi="Arial" w:cs="Arial"/>
                <w:spacing w:val="-1"/>
                <w:sz w:val="20"/>
                <w:szCs w:val="20"/>
              </w:rPr>
              <w:t>The target LCR or CET1 ratio that the institution plans</w:t>
            </w:r>
            <w:r w:rsidR="00CE143E" w:rsidRPr="00DA7242">
              <w:rPr>
                <w:rFonts w:ascii="Arial" w:hAnsi="Arial" w:cs="Arial"/>
                <w:spacing w:val="-1"/>
                <w:sz w:val="20"/>
                <w:szCs w:val="20"/>
              </w:rPr>
              <w:t xml:space="preserve"> to maintain on average according to budget/capital plan baseline.</w:t>
            </w:r>
            <w:r w:rsidR="00303DA6">
              <w:rPr>
                <w:rFonts w:ascii="Arial" w:hAnsi="Arial" w:cs="Arial"/>
                <w:spacing w:val="-1"/>
                <w:sz w:val="20"/>
                <w:szCs w:val="20"/>
              </w:rPr>
              <w:t xml:space="preserve"> Figures for the ratios in column 0020 have to be reported </w:t>
            </w:r>
            <w:r w:rsidR="00392C07">
              <w:rPr>
                <w:rFonts w:ascii="Arial" w:hAnsi="Arial" w:cs="Arial"/>
                <w:spacing w:val="-1"/>
                <w:sz w:val="20"/>
                <w:szCs w:val="20"/>
              </w:rPr>
              <w:t>according to the COREP</w:t>
            </w:r>
            <w:r w:rsidR="00303DA6">
              <w:rPr>
                <w:rFonts w:ascii="Arial" w:hAnsi="Arial" w:cs="Arial"/>
                <w:spacing w:val="-1"/>
                <w:sz w:val="20"/>
                <w:szCs w:val="20"/>
              </w:rPr>
              <w:t xml:space="preserve"> format (e.g. a CET1 ratio of 12.678% has to be reported as 0.12678)</w:t>
            </w:r>
          </w:p>
        </w:tc>
      </w:tr>
      <w:tr w:rsidR="00A60155" w:rsidRPr="00DA7242" w14:paraId="1AC70A12" w14:textId="77777777" w:rsidTr="0035689D">
        <w:trPr>
          <w:trHeight w:val="304"/>
        </w:trPr>
        <w:tc>
          <w:tcPr>
            <w:tcW w:w="1418" w:type="dxa"/>
          </w:tcPr>
          <w:p w14:paraId="38D0BD6C"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2.4</w:t>
            </w:r>
          </w:p>
        </w:tc>
        <w:tc>
          <w:tcPr>
            <w:tcW w:w="1418" w:type="dxa"/>
          </w:tcPr>
          <w:p w14:paraId="3AFFA63C"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Pr>
          <w:p w14:paraId="7C992901" w14:textId="59985DC7" w:rsidR="00A60155" w:rsidRPr="00DA7242" w:rsidRDefault="00CE143E" w:rsidP="00CE143E">
            <w:pPr>
              <w:pStyle w:val="TableParagraph"/>
              <w:spacing w:before="117"/>
              <w:ind w:left="102"/>
              <w:rPr>
                <w:rFonts w:ascii="Arial" w:hAnsi="Arial" w:cs="Arial"/>
                <w:spacing w:val="-1"/>
                <w:sz w:val="20"/>
                <w:szCs w:val="20"/>
              </w:rPr>
            </w:pPr>
            <w:r w:rsidRPr="00DA7242">
              <w:rPr>
                <w:rFonts w:ascii="Arial" w:hAnsi="Arial" w:cs="Arial"/>
                <w:spacing w:val="-1"/>
                <w:sz w:val="20"/>
                <w:szCs w:val="20"/>
              </w:rPr>
              <w:t xml:space="preserve">The level of the recovery indicator threshold (according to </w:t>
            </w:r>
            <w:r w:rsidR="00EB2547" w:rsidRPr="00DA7242">
              <w:rPr>
                <w:rFonts w:ascii="Arial" w:hAnsi="Arial" w:cs="Arial"/>
                <w:spacing w:val="-1"/>
                <w:sz w:val="20"/>
                <w:szCs w:val="20"/>
              </w:rPr>
              <w:t xml:space="preserve">definition used in Recovery Plan Standardized Reporting Template (SRT)) </w:t>
            </w:r>
            <w:r w:rsidRPr="00DA7242">
              <w:rPr>
                <w:rFonts w:ascii="Arial" w:hAnsi="Arial" w:cs="Arial"/>
                <w:spacing w:val="-1"/>
                <w:sz w:val="20"/>
                <w:szCs w:val="20"/>
              </w:rPr>
              <w:t xml:space="preserve">for LCR and CET1 which identifies the points at which appropriate actions referred to in the </w:t>
            </w:r>
            <w:r w:rsidR="00EB2547" w:rsidRPr="00DA7242">
              <w:rPr>
                <w:rFonts w:ascii="Arial" w:hAnsi="Arial" w:cs="Arial"/>
                <w:spacing w:val="-1"/>
                <w:sz w:val="20"/>
                <w:szCs w:val="20"/>
              </w:rPr>
              <w:t xml:space="preserve">recovery </w:t>
            </w:r>
            <w:r w:rsidRPr="00DA7242">
              <w:rPr>
                <w:rFonts w:ascii="Arial" w:hAnsi="Arial" w:cs="Arial"/>
                <w:spacing w:val="-1"/>
                <w:sz w:val="20"/>
                <w:szCs w:val="20"/>
              </w:rPr>
              <w:t>plan may be taken.</w:t>
            </w:r>
            <w:r w:rsidR="00303DA6">
              <w:rPr>
                <w:rFonts w:ascii="Arial" w:hAnsi="Arial" w:cs="Arial"/>
                <w:spacing w:val="-1"/>
                <w:sz w:val="20"/>
                <w:szCs w:val="20"/>
              </w:rPr>
              <w:t xml:space="preserve"> Figures for the ratios in column 0030 have </w:t>
            </w:r>
            <w:r w:rsidR="00303DA6">
              <w:rPr>
                <w:rFonts w:ascii="Arial" w:hAnsi="Arial" w:cs="Arial"/>
                <w:spacing w:val="-1"/>
                <w:sz w:val="20"/>
                <w:szCs w:val="20"/>
              </w:rPr>
              <w:lastRenderedPageBreak/>
              <w:t>to be reported according to the COREP format (e.g. a CET1 ratio of 12.678% has to be reported as 0.12678)</w:t>
            </w:r>
          </w:p>
        </w:tc>
      </w:tr>
      <w:tr w:rsidR="005E1314" w:rsidRPr="00B43B69" w14:paraId="001D8158" w14:textId="77777777" w:rsidTr="00B43B69">
        <w:trPr>
          <w:trHeight w:val="304"/>
        </w:trPr>
        <w:tc>
          <w:tcPr>
            <w:tcW w:w="1418" w:type="dxa"/>
            <w:shd w:val="clear" w:color="auto" w:fill="auto"/>
          </w:tcPr>
          <w:p w14:paraId="4CE77E32" w14:textId="06F7B12A" w:rsidR="005E1314" w:rsidRPr="00B43B69" w:rsidRDefault="005E1314" w:rsidP="00994C51">
            <w:pPr>
              <w:pStyle w:val="TableParagraph"/>
              <w:spacing w:before="118"/>
              <w:ind w:left="57" w:right="96"/>
              <w:jc w:val="both"/>
              <w:rPr>
                <w:rFonts w:ascii="Arial" w:eastAsia="Times New Roman" w:hAnsi="Arial" w:cs="Arial"/>
                <w:sz w:val="20"/>
                <w:szCs w:val="20"/>
                <w:lang w:val="fr-FR"/>
              </w:rPr>
            </w:pPr>
            <w:r w:rsidRPr="00B43B69">
              <w:rPr>
                <w:rFonts w:ascii="Arial" w:eastAsia="Times New Roman" w:hAnsi="Arial" w:cs="Arial"/>
                <w:sz w:val="20"/>
                <w:szCs w:val="20"/>
                <w:lang w:val="fr-FR"/>
              </w:rPr>
              <w:lastRenderedPageBreak/>
              <w:t>Table 3.1</w:t>
            </w:r>
          </w:p>
        </w:tc>
        <w:tc>
          <w:tcPr>
            <w:tcW w:w="1418" w:type="dxa"/>
            <w:shd w:val="clear" w:color="auto" w:fill="auto"/>
          </w:tcPr>
          <w:p w14:paraId="67E12C9D" w14:textId="67544178" w:rsidR="005E1314" w:rsidRPr="00B43B69" w:rsidRDefault="005E1314" w:rsidP="00994C51">
            <w:pPr>
              <w:pStyle w:val="TableParagraph"/>
              <w:spacing w:before="118"/>
              <w:ind w:left="57" w:right="96"/>
              <w:jc w:val="both"/>
              <w:rPr>
                <w:rFonts w:ascii="Arial" w:eastAsia="Times New Roman" w:hAnsi="Arial" w:cs="Arial"/>
                <w:sz w:val="20"/>
                <w:szCs w:val="20"/>
              </w:rPr>
            </w:pPr>
            <w:r w:rsidRPr="00B43B69">
              <w:rPr>
                <w:rFonts w:ascii="Arial" w:eastAsia="Times New Roman" w:hAnsi="Arial" w:cs="Arial"/>
                <w:sz w:val="20"/>
                <w:szCs w:val="20"/>
              </w:rPr>
              <w:t>0010</w:t>
            </w:r>
          </w:p>
        </w:tc>
        <w:tc>
          <w:tcPr>
            <w:tcW w:w="6911" w:type="dxa"/>
            <w:shd w:val="clear" w:color="auto" w:fill="auto"/>
          </w:tcPr>
          <w:p w14:paraId="0BA321B9" w14:textId="51E8079E" w:rsidR="005E1314" w:rsidRPr="00B43B69" w:rsidRDefault="005E1314" w:rsidP="005E1314">
            <w:pPr>
              <w:pStyle w:val="TableParagraph"/>
              <w:spacing w:before="117"/>
              <w:ind w:left="102"/>
              <w:rPr>
                <w:rFonts w:ascii="Arial" w:hAnsi="Arial" w:cs="Arial"/>
                <w:spacing w:val="-1"/>
                <w:sz w:val="20"/>
                <w:szCs w:val="20"/>
              </w:rPr>
            </w:pPr>
            <w:r w:rsidRPr="00B43B69">
              <w:rPr>
                <w:rFonts w:ascii="Arial" w:hAnsi="Arial" w:cs="Arial"/>
                <w:spacing w:val="-1"/>
                <w:sz w:val="20"/>
                <w:szCs w:val="20"/>
              </w:rPr>
              <w:t>For rows 0010 – 0060, 0080 and 0090 the reporting date should be considered.</w:t>
            </w:r>
          </w:p>
          <w:p w14:paraId="447964D1" w14:textId="0D269508" w:rsidR="005E1314" w:rsidRPr="00B43B69" w:rsidRDefault="005E1314" w:rsidP="005E1314">
            <w:pPr>
              <w:pStyle w:val="TableParagraph"/>
              <w:spacing w:before="117"/>
              <w:ind w:left="102"/>
              <w:rPr>
                <w:rFonts w:ascii="Arial" w:hAnsi="Arial" w:cs="Arial"/>
                <w:spacing w:val="-1"/>
                <w:sz w:val="20"/>
                <w:szCs w:val="20"/>
              </w:rPr>
            </w:pPr>
            <w:r w:rsidRPr="00B43B69">
              <w:rPr>
                <w:rFonts w:ascii="Arial" w:hAnsi="Arial" w:cs="Arial"/>
                <w:spacing w:val="-1"/>
                <w:sz w:val="20"/>
                <w:szCs w:val="20"/>
              </w:rPr>
              <w:t>For rows 0070, 0100 and 0110 the timeframe should be the reporting month.</w:t>
            </w:r>
          </w:p>
        </w:tc>
      </w:tr>
      <w:tr w:rsidR="009E008F" w:rsidRPr="00B43B69" w14:paraId="2F321B95" w14:textId="77777777" w:rsidTr="00B43B69">
        <w:trPr>
          <w:trHeight w:val="304"/>
        </w:trPr>
        <w:tc>
          <w:tcPr>
            <w:tcW w:w="1418" w:type="dxa"/>
            <w:shd w:val="clear" w:color="auto" w:fill="auto"/>
          </w:tcPr>
          <w:p w14:paraId="6051C37B" w14:textId="77777777" w:rsidR="009E008F" w:rsidRPr="00B43B69" w:rsidRDefault="009E008F" w:rsidP="00994C51">
            <w:pPr>
              <w:pStyle w:val="TableParagraph"/>
              <w:spacing w:before="118"/>
              <w:ind w:left="57" w:right="96"/>
              <w:jc w:val="both"/>
              <w:rPr>
                <w:rFonts w:ascii="Arial" w:eastAsia="Times New Roman" w:hAnsi="Arial" w:cs="Arial"/>
                <w:sz w:val="20"/>
                <w:szCs w:val="20"/>
                <w:lang w:val="fr-FR"/>
              </w:rPr>
            </w:pPr>
            <w:r w:rsidRPr="00B43B69">
              <w:rPr>
                <w:rFonts w:ascii="Arial" w:eastAsia="Times New Roman" w:hAnsi="Arial" w:cs="Arial"/>
                <w:sz w:val="20"/>
                <w:szCs w:val="20"/>
                <w:lang w:val="fr-FR"/>
              </w:rPr>
              <w:t>Table 3.1</w:t>
            </w:r>
          </w:p>
        </w:tc>
        <w:tc>
          <w:tcPr>
            <w:tcW w:w="1418" w:type="dxa"/>
            <w:shd w:val="clear" w:color="auto" w:fill="auto"/>
          </w:tcPr>
          <w:p w14:paraId="3BC53939" w14:textId="77777777" w:rsidR="009E008F" w:rsidRPr="00B43B69" w:rsidRDefault="009E008F" w:rsidP="00994C51">
            <w:pPr>
              <w:pStyle w:val="TableParagraph"/>
              <w:spacing w:before="118"/>
              <w:ind w:left="57" w:right="96"/>
              <w:jc w:val="both"/>
              <w:rPr>
                <w:rFonts w:ascii="Arial" w:eastAsia="Times New Roman" w:hAnsi="Arial" w:cs="Arial"/>
                <w:sz w:val="20"/>
                <w:szCs w:val="20"/>
              </w:rPr>
            </w:pPr>
            <w:r w:rsidRPr="00B43B69">
              <w:rPr>
                <w:rFonts w:ascii="Arial" w:eastAsia="Times New Roman" w:hAnsi="Arial" w:cs="Arial"/>
                <w:sz w:val="20"/>
                <w:szCs w:val="20"/>
              </w:rPr>
              <w:t>0030</w:t>
            </w:r>
          </w:p>
        </w:tc>
        <w:tc>
          <w:tcPr>
            <w:tcW w:w="6911" w:type="dxa"/>
            <w:shd w:val="clear" w:color="auto" w:fill="auto"/>
          </w:tcPr>
          <w:p w14:paraId="18311CFF" w14:textId="47A5D4E4" w:rsidR="009E008F" w:rsidRPr="00B43B69" w:rsidRDefault="009E008F" w:rsidP="0054725A">
            <w:pPr>
              <w:pStyle w:val="TableParagraph"/>
              <w:spacing w:before="117"/>
              <w:ind w:left="102"/>
              <w:rPr>
                <w:rFonts w:ascii="Arial" w:hAnsi="Arial" w:cs="Arial"/>
                <w:spacing w:val="-1"/>
                <w:sz w:val="20"/>
                <w:szCs w:val="20"/>
              </w:rPr>
            </w:pPr>
            <w:r w:rsidRPr="00B43B69">
              <w:rPr>
                <w:rFonts w:ascii="Arial" w:hAnsi="Arial" w:cs="Arial"/>
                <w:spacing w:val="-1"/>
                <w:sz w:val="20"/>
                <w:szCs w:val="20"/>
              </w:rPr>
              <w:t>Pre Covid-19 figures in column 0030 should be reported only once in correspondence of the first reporting date.</w:t>
            </w:r>
            <w:r w:rsidR="00B53D82" w:rsidRPr="00B43B69">
              <w:rPr>
                <w:rFonts w:ascii="Arial" w:hAnsi="Arial" w:cs="Arial"/>
                <w:spacing w:val="-1"/>
                <w:sz w:val="20"/>
                <w:szCs w:val="20"/>
              </w:rPr>
              <w:t xml:space="preserve"> Provide there a relevant figure to allow comparison with Covid-19 figure. The main objective is to assess the extent to which the Covid-19 crisis impacted the various areas of the institutions. This could be for instance the point in time figure as of 18 Feb 2020 or 2019 end-of-year figures etc. Reporting banks are expected to explain further the rationale of the corresponding reference in the comment box.</w:t>
            </w:r>
          </w:p>
        </w:tc>
      </w:tr>
      <w:tr w:rsidR="00A60155" w:rsidRPr="00DA7242" w14:paraId="3D1B7150" w14:textId="77777777" w:rsidTr="0035689D">
        <w:trPr>
          <w:trHeight w:val="304"/>
        </w:trPr>
        <w:tc>
          <w:tcPr>
            <w:tcW w:w="1418" w:type="dxa"/>
          </w:tcPr>
          <w:p w14:paraId="3058FEC4"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3.2</w:t>
            </w:r>
          </w:p>
        </w:tc>
        <w:tc>
          <w:tcPr>
            <w:tcW w:w="1418" w:type="dxa"/>
          </w:tcPr>
          <w:p w14:paraId="613284A9"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Pr>
          <w:p w14:paraId="6A1830F7" w14:textId="4AB9737C" w:rsidR="00A60155" w:rsidRPr="00DA7242" w:rsidRDefault="00A60155"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Estimated impact should be measured as the Gross loss as defined in Annex II of ITS on Supervisory reporting for the reporting.</w:t>
            </w:r>
          </w:p>
        </w:tc>
      </w:tr>
      <w:tr w:rsidR="00A60155" w:rsidRPr="00DA7242" w14:paraId="04C5ABE8" w14:textId="77777777" w:rsidTr="0035689D">
        <w:trPr>
          <w:trHeight w:val="304"/>
        </w:trPr>
        <w:tc>
          <w:tcPr>
            <w:tcW w:w="1418" w:type="dxa"/>
          </w:tcPr>
          <w:p w14:paraId="60D6CE05"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3.2</w:t>
            </w:r>
          </w:p>
        </w:tc>
        <w:tc>
          <w:tcPr>
            <w:tcW w:w="1418" w:type="dxa"/>
          </w:tcPr>
          <w:p w14:paraId="2BAA8C5B"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0040</w:t>
            </w:r>
          </w:p>
        </w:tc>
        <w:tc>
          <w:tcPr>
            <w:tcW w:w="6911" w:type="dxa"/>
          </w:tcPr>
          <w:p w14:paraId="48D7402C" w14:textId="77777777" w:rsidR="00A60155" w:rsidRPr="00DA7242" w:rsidRDefault="00A60155"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include only description of the events which gross loss amount is above € 10.000</w:t>
            </w:r>
          </w:p>
        </w:tc>
      </w:tr>
      <w:tr w:rsidR="00A60155" w:rsidRPr="00DA7242" w14:paraId="7083EACE" w14:textId="77777777" w:rsidTr="0035689D">
        <w:trPr>
          <w:trHeight w:val="304"/>
        </w:trPr>
        <w:tc>
          <w:tcPr>
            <w:tcW w:w="1418" w:type="dxa"/>
          </w:tcPr>
          <w:p w14:paraId="2E60A78B" w14:textId="77777777" w:rsidR="00A60155" w:rsidRPr="00DA7242" w:rsidRDefault="00A60155" w:rsidP="007B30B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3.1</w:t>
            </w:r>
          </w:p>
        </w:tc>
        <w:tc>
          <w:tcPr>
            <w:tcW w:w="1418" w:type="dxa"/>
          </w:tcPr>
          <w:p w14:paraId="4D08452E" w14:textId="77777777" w:rsidR="00A60155" w:rsidRPr="00DA7242" w:rsidRDefault="0054725A" w:rsidP="007B30B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Pr>
          <w:p w14:paraId="5152CCB4" w14:textId="47904240" w:rsidR="00A60155" w:rsidRPr="00DA7242" w:rsidRDefault="00A60155"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include here any additional information (</w:t>
            </w:r>
            <w:r w:rsidR="00BC4ED7" w:rsidRPr="00DA7242">
              <w:rPr>
                <w:rFonts w:ascii="Arial" w:hAnsi="Arial" w:cs="Arial"/>
                <w:spacing w:val="-1"/>
                <w:sz w:val="20"/>
                <w:szCs w:val="20"/>
              </w:rPr>
              <w:t>both quantitative and</w:t>
            </w:r>
            <w:r w:rsidRPr="00DA7242">
              <w:rPr>
                <w:rFonts w:ascii="Arial" w:hAnsi="Arial" w:cs="Arial"/>
                <w:spacing w:val="-1"/>
                <w:sz w:val="20"/>
                <w:szCs w:val="20"/>
              </w:rPr>
              <w:t xml:space="preserve"> qualitative) at sub-consolidated level or for particular geographical area that might be relevant when analyzing the consolidated figure. E.g. consider if there is a spike on daily withdrawals in particular subsidiaries or geographies, or if operational losses are mainly stemming from particular sub-entities or geographies.</w:t>
            </w:r>
          </w:p>
        </w:tc>
      </w:tr>
      <w:tr w:rsidR="007B30B1" w:rsidRPr="00DA7242" w14:paraId="056021FD" w14:textId="77777777" w:rsidTr="0035689D">
        <w:trPr>
          <w:trHeight w:val="304"/>
        </w:trPr>
        <w:tc>
          <w:tcPr>
            <w:tcW w:w="1418" w:type="dxa"/>
          </w:tcPr>
          <w:p w14:paraId="0FD3E3BD" w14:textId="77777777" w:rsidR="007B30B1" w:rsidRPr="00DA7242" w:rsidRDefault="007B30B1"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3.2</w:t>
            </w:r>
          </w:p>
        </w:tc>
        <w:tc>
          <w:tcPr>
            <w:tcW w:w="1418" w:type="dxa"/>
          </w:tcPr>
          <w:p w14:paraId="4ED489B9" w14:textId="77777777" w:rsidR="007B30B1" w:rsidRPr="00DA7242" w:rsidRDefault="007B30B1"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Pr>
          <w:p w14:paraId="4AB463A9" w14:textId="044A61CD" w:rsidR="007B30B1" w:rsidRPr="00DA7242" w:rsidRDefault="007B30B1" w:rsidP="007B30B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include here any additional information (</w:t>
            </w:r>
            <w:r w:rsidR="00BC4ED7" w:rsidRPr="00DA7242">
              <w:rPr>
                <w:rFonts w:ascii="Arial" w:hAnsi="Arial" w:cs="Arial"/>
                <w:spacing w:val="-1"/>
                <w:sz w:val="20"/>
                <w:szCs w:val="20"/>
              </w:rPr>
              <w:t>both quantitative and</w:t>
            </w:r>
            <w:r w:rsidRPr="00DA7242">
              <w:rPr>
                <w:rFonts w:ascii="Arial" w:hAnsi="Arial" w:cs="Arial"/>
                <w:spacing w:val="-1"/>
                <w:sz w:val="20"/>
                <w:szCs w:val="20"/>
              </w:rPr>
              <w:t xml:space="preserve"> qualitative) at sub-consolidated level or for particular geographical area that might be relevant when analyzing the consolidated figure. E.g. consider if there are substantial amounts of incidents stemming from particular subsidiaries or geographies.</w:t>
            </w:r>
          </w:p>
        </w:tc>
      </w:tr>
    </w:tbl>
    <w:p w14:paraId="72F8E5FA" w14:textId="77777777" w:rsidR="00313B99" w:rsidRPr="00DA7242" w:rsidRDefault="00313B99" w:rsidP="00334449">
      <w:pPr>
        <w:rPr>
          <w:rFonts w:ascii="Arial" w:hAnsi="Arial" w:cs="Arial"/>
          <w:sz w:val="20"/>
          <w:szCs w:val="20"/>
        </w:rPr>
      </w:pPr>
    </w:p>
    <w:p w14:paraId="5194E343" w14:textId="4DCDFEF6" w:rsidR="00DE18B4" w:rsidRPr="00DA7242" w:rsidRDefault="00DE18B4" w:rsidP="00DE18B4">
      <w:pPr>
        <w:jc w:val="center"/>
        <w:rPr>
          <w:rFonts w:ascii="Arial" w:hAnsi="Arial" w:cs="Arial"/>
          <w:b/>
          <w:sz w:val="20"/>
          <w:szCs w:val="20"/>
        </w:rPr>
      </w:pPr>
      <w:r w:rsidRPr="00DA7242">
        <w:rPr>
          <w:rFonts w:ascii="Arial" w:hAnsi="Arial" w:cs="Arial"/>
          <w:b/>
          <w:sz w:val="20"/>
          <w:szCs w:val="20"/>
        </w:rPr>
        <w:t>Part III: Credit Risk Templates</w:t>
      </w:r>
    </w:p>
    <w:p w14:paraId="57DF6AB0" w14:textId="3496B311" w:rsidR="00DE18B4" w:rsidRPr="00DA7242" w:rsidRDefault="00DE18B4" w:rsidP="00DE18B4">
      <w:pPr>
        <w:jc w:val="center"/>
        <w:rPr>
          <w:rFonts w:ascii="Arial" w:hAnsi="Arial" w:cs="Arial"/>
          <w:b/>
          <w:sz w:val="20"/>
          <w:szCs w:val="20"/>
        </w:rPr>
      </w:pPr>
      <w:r w:rsidRPr="00DA7242">
        <w:rPr>
          <w:rFonts w:ascii="Arial" w:hAnsi="Arial" w:cs="Arial"/>
          <w:b/>
          <w:sz w:val="20"/>
          <w:szCs w:val="20"/>
        </w:rPr>
        <w:t>Structure of the Credit Risk Template</w:t>
      </w:r>
    </w:p>
    <w:p w14:paraId="310CCA9D" w14:textId="77777777" w:rsidR="00DE18B4" w:rsidRPr="00DA7242" w:rsidRDefault="00DE18B4" w:rsidP="00DE18B4">
      <w:pPr>
        <w:jc w:val="both"/>
        <w:rPr>
          <w:rFonts w:ascii="Arial" w:hAnsi="Arial" w:cs="Arial"/>
          <w:sz w:val="20"/>
          <w:szCs w:val="20"/>
        </w:rPr>
      </w:pPr>
      <w:r w:rsidRPr="00DA7242">
        <w:rPr>
          <w:rFonts w:ascii="Arial" w:hAnsi="Arial" w:cs="Arial"/>
          <w:sz w:val="20"/>
          <w:szCs w:val="20"/>
        </w:rPr>
        <w:t>The following tables are included in this part of the reporting requirements:</w:t>
      </w:r>
    </w:p>
    <w:p w14:paraId="519BA806" w14:textId="03C797F0" w:rsidR="00313B99" w:rsidRPr="00DA7242" w:rsidRDefault="00313B99" w:rsidP="0035689D">
      <w:pPr>
        <w:pStyle w:val="InstructionsText2"/>
        <w:numPr>
          <w:ilvl w:val="0"/>
          <w:numId w:val="41"/>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Information on Moratoria and State Guarantees</w:t>
      </w:r>
      <w:r w:rsidRPr="00DA7242">
        <w:rPr>
          <w:rStyle w:val="FootnoteReference"/>
          <w:rFonts w:ascii="Arial" w:eastAsiaTheme="minorHAnsi" w:hAnsi="Arial" w:cs="Arial"/>
          <w:b/>
          <w:sz w:val="20"/>
          <w:szCs w:val="20"/>
          <w:lang w:eastAsia="en-US"/>
        </w:rPr>
        <w:footnoteReference w:id="9"/>
      </w:r>
    </w:p>
    <w:p w14:paraId="754DCE0B" w14:textId="704BC4EA" w:rsidR="00313B99" w:rsidRPr="00DA7242" w:rsidRDefault="00313B99" w:rsidP="0035689D">
      <w:pPr>
        <w:jc w:val="both"/>
        <w:rPr>
          <w:rFonts w:ascii="Arial" w:eastAsia="Arial" w:hAnsi="Arial" w:cs="Arial"/>
          <w:sz w:val="20"/>
          <w:szCs w:val="20"/>
          <w:lang w:eastAsia="x-none"/>
        </w:rPr>
      </w:pPr>
      <w:r w:rsidRPr="00DA7242">
        <w:rPr>
          <w:rFonts w:ascii="Arial" w:eastAsia="Arial" w:hAnsi="Arial" w:cs="Arial"/>
          <w:sz w:val="20"/>
          <w:szCs w:val="20"/>
          <w:lang w:eastAsia="x-none"/>
        </w:rPr>
        <w:t>The institutions in scope should report</w:t>
      </w:r>
      <w:r w:rsidR="0035689D">
        <w:rPr>
          <w:rFonts w:ascii="Arial" w:eastAsia="Arial" w:hAnsi="Arial" w:cs="Arial"/>
          <w:sz w:val="20"/>
          <w:szCs w:val="20"/>
          <w:lang w:eastAsia="x-none"/>
        </w:rPr>
        <w:t xml:space="preserve"> as per</w:t>
      </w:r>
      <w:r w:rsidRPr="00DA7242">
        <w:rPr>
          <w:rFonts w:ascii="Arial" w:eastAsia="Arial" w:hAnsi="Arial" w:cs="Arial"/>
          <w:sz w:val="20"/>
          <w:szCs w:val="20"/>
          <w:lang w:eastAsia="x-none"/>
        </w:rPr>
        <w:t xml:space="preserve"> the templates</w:t>
      </w:r>
      <w:r w:rsidR="00645909" w:rsidRPr="00DA7242">
        <w:rPr>
          <w:rFonts w:ascii="Arial" w:eastAsia="Arial" w:hAnsi="Arial" w:cs="Arial"/>
          <w:sz w:val="20"/>
          <w:szCs w:val="20"/>
          <w:lang w:eastAsia="x-none"/>
        </w:rPr>
        <w:t xml:space="preserve"> and instructions</w:t>
      </w:r>
      <w:r w:rsidRPr="00DA7242">
        <w:rPr>
          <w:rFonts w:ascii="Arial" w:eastAsia="Arial" w:hAnsi="Arial" w:cs="Arial"/>
          <w:sz w:val="20"/>
          <w:szCs w:val="20"/>
          <w:lang w:eastAsia="x-none"/>
        </w:rPr>
        <w:t xml:space="preserve"> designed by the EBA on monthly basis as per the reporting and remittance dates outlined in Part I of these instructions.</w:t>
      </w:r>
    </w:p>
    <w:p w14:paraId="2122809C" w14:textId="25CE41B1" w:rsidR="00313B99" w:rsidRDefault="00313B99" w:rsidP="0035689D">
      <w:pPr>
        <w:jc w:val="both"/>
        <w:rPr>
          <w:rFonts w:ascii="Arial" w:eastAsia="Arial" w:hAnsi="Arial" w:cs="Arial"/>
          <w:sz w:val="20"/>
          <w:szCs w:val="20"/>
          <w:lang w:eastAsia="x-none"/>
        </w:rPr>
      </w:pPr>
      <w:r w:rsidRPr="0035689D">
        <w:rPr>
          <w:rFonts w:ascii="Arial" w:eastAsia="Arial" w:hAnsi="Arial" w:cs="Arial"/>
          <w:sz w:val="20"/>
          <w:szCs w:val="20"/>
          <w:lang w:eastAsia="x-none"/>
        </w:rPr>
        <w:t xml:space="preserve">All ITS definitions </w:t>
      </w:r>
      <w:r w:rsidRPr="00DA7242">
        <w:rPr>
          <w:rFonts w:ascii="Arial" w:eastAsia="Arial" w:hAnsi="Arial" w:cs="Arial"/>
          <w:sz w:val="20"/>
          <w:szCs w:val="20"/>
          <w:lang w:eastAsia="x-none"/>
        </w:rPr>
        <w:t>in the EBA templates</w:t>
      </w:r>
      <w:r w:rsidR="00645909" w:rsidRPr="00DA7242">
        <w:rPr>
          <w:rFonts w:ascii="Arial" w:eastAsia="Arial" w:hAnsi="Arial" w:cs="Arial"/>
          <w:sz w:val="20"/>
          <w:szCs w:val="20"/>
          <w:lang w:eastAsia="x-none"/>
        </w:rPr>
        <w:t xml:space="preserve"> and instructions</w:t>
      </w:r>
      <w:r w:rsidRPr="00DA7242">
        <w:rPr>
          <w:rFonts w:ascii="Arial" w:eastAsia="Arial" w:hAnsi="Arial" w:cs="Arial"/>
          <w:sz w:val="20"/>
          <w:szCs w:val="20"/>
          <w:lang w:eastAsia="x-none"/>
        </w:rPr>
        <w:t xml:space="preserve"> </w:t>
      </w:r>
      <w:r w:rsidRPr="0035689D">
        <w:rPr>
          <w:rFonts w:ascii="Arial" w:eastAsia="Arial" w:hAnsi="Arial" w:cs="Arial"/>
          <w:sz w:val="20"/>
          <w:szCs w:val="20"/>
          <w:lang w:eastAsia="x-none"/>
        </w:rPr>
        <w:t>should be linked to the applicable ITS package as at the reporting</w:t>
      </w:r>
      <w:r w:rsidR="0035689D">
        <w:rPr>
          <w:rFonts w:ascii="Arial" w:eastAsia="Arial" w:hAnsi="Arial" w:cs="Arial"/>
          <w:sz w:val="20"/>
          <w:szCs w:val="20"/>
          <w:lang w:eastAsia="x-none"/>
        </w:rPr>
        <w:t xml:space="preserve"> reference</w:t>
      </w:r>
      <w:r w:rsidRPr="0035689D">
        <w:rPr>
          <w:rFonts w:ascii="Arial" w:eastAsia="Arial" w:hAnsi="Arial" w:cs="Arial"/>
          <w:sz w:val="20"/>
          <w:szCs w:val="20"/>
          <w:lang w:eastAsia="x-none"/>
        </w:rPr>
        <w:t xml:space="preserve"> date (i.e. v2.8 before 30 June 2020 and v2.9 as of 30 June 2020)</w:t>
      </w:r>
      <w:r w:rsidRPr="00DA7242">
        <w:rPr>
          <w:rFonts w:ascii="Arial" w:eastAsia="Arial" w:hAnsi="Arial" w:cs="Arial"/>
          <w:sz w:val="20"/>
          <w:szCs w:val="20"/>
          <w:lang w:eastAsia="x-none"/>
        </w:rPr>
        <w:t>.</w:t>
      </w:r>
    </w:p>
    <w:p w14:paraId="52C5B95C" w14:textId="67001A56" w:rsidR="00DE18B4" w:rsidRPr="00DA7242" w:rsidRDefault="00DE18B4" w:rsidP="0035689D">
      <w:pPr>
        <w:pStyle w:val="InstructionsText2"/>
        <w:numPr>
          <w:ilvl w:val="0"/>
          <w:numId w:val="41"/>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 xml:space="preserve">Information on </w:t>
      </w:r>
      <w:r w:rsidR="009A04A6" w:rsidRPr="00DA7242">
        <w:rPr>
          <w:rFonts w:ascii="Arial" w:eastAsiaTheme="minorHAnsi" w:hAnsi="Arial" w:cs="Arial"/>
          <w:b/>
          <w:sz w:val="20"/>
          <w:szCs w:val="20"/>
          <w:lang w:eastAsia="en-US"/>
        </w:rPr>
        <w:t>Loans and Advances</w:t>
      </w:r>
      <w:r w:rsidRPr="00DA7242">
        <w:rPr>
          <w:rFonts w:ascii="Arial" w:eastAsiaTheme="minorHAnsi" w:hAnsi="Arial" w:cs="Arial"/>
          <w:b/>
          <w:sz w:val="20"/>
          <w:szCs w:val="20"/>
          <w:lang w:eastAsia="en-US"/>
        </w:rPr>
        <w:t>:</w:t>
      </w:r>
    </w:p>
    <w:p w14:paraId="4BC01295" w14:textId="09FF4CD5" w:rsidR="002311BA" w:rsidRPr="00DA7242" w:rsidRDefault="002311BA" w:rsidP="00C1136C">
      <w:pPr>
        <w:pStyle w:val="InstructionsText2"/>
        <w:numPr>
          <w:ilvl w:val="0"/>
          <w:numId w:val="0"/>
        </w:numPr>
        <w:rPr>
          <w:rFonts w:ascii="Arial" w:eastAsiaTheme="minorHAnsi" w:hAnsi="Arial" w:cs="Arial"/>
          <w:b/>
          <w:sz w:val="20"/>
          <w:szCs w:val="20"/>
          <w:lang w:eastAsia="en-US"/>
        </w:rPr>
      </w:pPr>
      <w:r w:rsidRPr="00DA7242">
        <w:rPr>
          <w:rFonts w:ascii="Arial" w:hAnsi="Arial" w:cs="Arial"/>
          <w:sz w:val="20"/>
          <w:szCs w:val="20"/>
        </w:rPr>
        <w:t>Table 4.1 - General information on loans and advances;</w:t>
      </w:r>
    </w:p>
    <w:p w14:paraId="21F90BAD" w14:textId="65BCA4C8" w:rsidR="00DE18B4" w:rsidRPr="00DA7242" w:rsidRDefault="002311BA" w:rsidP="0035689D">
      <w:pPr>
        <w:pStyle w:val="InstructionsText2"/>
        <w:numPr>
          <w:ilvl w:val="0"/>
          <w:numId w:val="0"/>
        </w:numPr>
        <w:rPr>
          <w:rFonts w:ascii="Arial" w:eastAsiaTheme="minorHAnsi" w:hAnsi="Arial" w:cs="Arial"/>
          <w:sz w:val="20"/>
          <w:szCs w:val="20"/>
          <w:lang w:eastAsia="en-US"/>
        </w:rPr>
      </w:pPr>
      <w:r w:rsidRPr="00DA7242">
        <w:rPr>
          <w:rFonts w:ascii="Arial" w:hAnsi="Arial" w:cs="Arial"/>
          <w:sz w:val="20"/>
          <w:szCs w:val="20"/>
        </w:rPr>
        <w:lastRenderedPageBreak/>
        <w:t xml:space="preserve">Table 4.2 - </w:t>
      </w:r>
      <w:r w:rsidR="00DE18B4" w:rsidRPr="00DA7242">
        <w:rPr>
          <w:rFonts w:ascii="Arial" w:eastAsiaTheme="minorHAnsi" w:hAnsi="Arial" w:cs="Arial"/>
          <w:sz w:val="20"/>
          <w:szCs w:val="20"/>
          <w:lang w:eastAsia="en-US"/>
        </w:rPr>
        <w:t>Breakdown of loans and advances to Non-financial corporations by NACE codes</w:t>
      </w:r>
      <w:r w:rsidRPr="00DA7242">
        <w:rPr>
          <w:rFonts w:ascii="Arial" w:eastAsiaTheme="minorHAnsi" w:hAnsi="Arial" w:cs="Arial"/>
          <w:sz w:val="20"/>
          <w:szCs w:val="20"/>
          <w:lang w:eastAsia="en-US"/>
        </w:rPr>
        <w:t>.</w:t>
      </w:r>
    </w:p>
    <w:p w14:paraId="6A41B0EE" w14:textId="110A6899" w:rsidR="00DE18B4" w:rsidRPr="00DA7242" w:rsidRDefault="00DE18B4" w:rsidP="0035689D">
      <w:pPr>
        <w:pStyle w:val="InstructionsText2"/>
        <w:numPr>
          <w:ilvl w:val="0"/>
          <w:numId w:val="41"/>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Committed lines</w:t>
      </w:r>
      <w:r w:rsidR="00935554" w:rsidRPr="00DA7242">
        <w:rPr>
          <w:rFonts w:ascii="Arial" w:eastAsiaTheme="minorHAnsi" w:hAnsi="Arial" w:cs="Arial"/>
          <w:b/>
          <w:sz w:val="20"/>
          <w:szCs w:val="20"/>
          <w:lang w:eastAsia="en-US"/>
        </w:rPr>
        <w:t xml:space="preserve"> template</w:t>
      </w:r>
      <w:r w:rsidRPr="00DA7242">
        <w:rPr>
          <w:rFonts w:ascii="Arial" w:eastAsiaTheme="minorHAnsi" w:hAnsi="Arial" w:cs="Arial"/>
          <w:b/>
          <w:sz w:val="20"/>
          <w:szCs w:val="20"/>
          <w:lang w:eastAsia="en-US"/>
        </w:rPr>
        <w:t>:</w:t>
      </w:r>
    </w:p>
    <w:p w14:paraId="752D866E" w14:textId="52F50F94" w:rsidR="00DE18B4" w:rsidRPr="00DA7242" w:rsidRDefault="002311BA" w:rsidP="0035689D">
      <w:pPr>
        <w:pStyle w:val="InstructionsText2"/>
        <w:numPr>
          <w:ilvl w:val="0"/>
          <w:numId w:val="0"/>
        </w:numPr>
        <w:rPr>
          <w:rFonts w:ascii="Arial" w:eastAsiaTheme="minorHAnsi" w:hAnsi="Arial" w:cs="Arial"/>
          <w:sz w:val="20"/>
          <w:szCs w:val="20"/>
          <w:lang w:eastAsia="en-US"/>
        </w:rPr>
      </w:pPr>
      <w:r w:rsidRPr="00DA7242">
        <w:rPr>
          <w:rFonts w:ascii="Arial" w:eastAsiaTheme="minorHAnsi" w:hAnsi="Arial" w:cs="Arial"/>
          <w:sz w:val="20"/>
          <w:szCs w:val="20"/>
          <w:lang w:eastAsia="en-US"/>
        </w:rPr>
        <w:t xml:space="preserve">Table 5 - </w:t>
      </w:r>
      <w:r w:rsidR="00DE18B4" w:rsidRPr="00DA7242">
        <w:rPr>
          <w:rFonts w:ascii="Arial" w:eastAsiaTheme="minorHAnsi" w:hAnsi="Arial" w:cs="Arial"/>
          <w:sz w:val="20"/>
          <w:szCs w:val="20"/>
          <w:lang w:eastAsia="en-US"/>
        </w:rPr>
        <w:t>Use of committed facilities</w:t>
      </w:r>
    </w:p>
    <w:p w14:paraId="0967D8DC" w14:textId="330AE9C9" w:rsidR="00DE18B4" w:rsidRPr="00DA7242" w:rsidRDefault="002311BA" w:rsidP="0035689D">
      <w:pPr>
        <w:jc w:val="center"/>
        <w:rPr>
          <w:rFonts w:ascii="Arial" w:hAnsi="Arial" w:cs="Arial"/>
          <w:b/>
          <w:sz w:val="20"/>
          <w:szCs w:val="20"/>
        </w:rPr>
      </w:pPr>
      <w:r w:rsidRPr="00DA7242">
        <w:rPr>
          <w:rFonts w:ascii="Arial" w:hAnsi="Arial" w:cs="Arial"/>
          <w:b/>
          <w:sz w:val="20"/>
          <w:szCs w:val="20"/>
        </w:rPr>
        <w:t xml:space="preserve">Table </w:t>
      </w:r>
      <w:r w:rsidR="00DE18B4" w:rsidRPr="00DA7242">
        <w:rPr>
          <w:rFonts w:ascii="Arial" w:hAnsi="Arial" w:cs="Arial"/>
          <w:b/>
          <w:sz w:val="20"/>
          <w:szCs w:val="20"/>
        </w:rPr>
        <w:t>4.</w:t>
      </w:r>
      <w:r w:rsidR="009A04A6" w:rsidRPr="00DA7242">
        <w:rPr>
          <w:rFonts w:ascii="Arial" w:hAnsi="Arial" w:cs="Arial"/>
          <w:b/>
          <w:sz w:val="20"/>
          <w:szCs w:val="20"/>
        </w:rPr>
        <w:t>1</w:t>
      </w:r>
      <w:r w:rsidR="00DE18B4" w:rsidRPr="00DA7242">
        <w:rPr>
          <w:rFonts w:ascii="Arial" w:hAnsi="Arial" w:cs="Arial"/>
          <w:b/>
          <w:sz w:val="20"/>
          <w:szCs w:val="20"/>
        </w:rPr>
        <w:t xml:space="preserve"> Information on loans and advances </w:t>
      </w:r>
    </w:p>
    <w:p w14:paraId="6FF71A67" w14:textId="77777777" w:rsidR="00DE18B4" w:rsidRPr="00DA7242" w:rsidRDefault="00DE18B4"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6A1A033A" w14:textId="77777777" w:rsidR="005B7DF0" w:rsidRPr="00DA7242" w:rsidRDefault="005B7DF0" w:rsidP="005B7DF0">
      <w:pPr>
        <w:pStyle w:val="ListParagraph"/>
        <w:spacing w:after="160" w:line="259" w:lineRule="auto"/>
        <w:ind w:left="360"/>
        <w:jc w:val="both"/>
        <w:rPr>
          <w:rFonts w:ascii="Arial" w:eastAsia="Arial" w:hAnsi="Arial" w:cs="Arial"/>
          <w:sz w:val="20"/>
          <w:szCs w:val="20"/>
          <w:lang w:eastAsia="x-none"/>
        </w:rPr>
      </w:pPr>
    </w:p>
    <w:p w14:paraId="02FAC415" w14:textId="57C31DE8" w:rsidR="005B7DF0" w:rsidRPr="00DA7242" w:rsidRDefault="00DE18B4" w:rsidP="005B7DF0">
      <w:pPr>
        <w:pStyle w:val="ListParagraph"/>
        <w:numPr>
          <w:ilvl w:val="0"/>
          <w:numId w:val="19"/>
        </w:numPr>
        <w:spacing w:after="160" w:line="259" w:lineRule="auto"/>
        <w:jc w:val="both"/>
        <w:rPr>
          <w:rFonts w:ascii="Arial" w:eastAsia="Arial" w:hAnsi="Arial" w:cs="Arial"/>
          <w:sz w:val="20"/>
          <w:szCs w:val="20"/>
          <w:lang w:eastAsia="x-none"/>
        </w:rPr>
      </w:pPr>
      <w:r w:rsidRPr="00DA7242">
        <w:rPr>
          <w:rFonts w:ascii="Arial" w:eastAsia="Arial" w:hAnsi="Arial" w:cs="Arial"/>
          <w:sz w:val="20"/>
          <w:szCs w:val="20"/>
          <w:lang w:eastAsia="x-none"/>
        </w:rPr>
        <w:t>The template provides a breakdown of the gross carrying amount and the related loss allowances by status of exposures (performing and non-performing)</w:t>
      </w:r>
      <w:r w:rsidR="002311BA" w:rsidRPr="00DA7242">
        <w:rPr>
          <w:rFonts w:ascii="Arial" w:eastAsia="Arial" w:hAnsi="Arial" w:cs="Arial"/>
          <w:sz w:val="20"/>
          <w:szCs w:val="20"/>
          <w:lang w:eastAsia="x-none"/>
        </w:rPr>
        <w:t>, leveraging fully on the information and definitions reported in the FINREP templates F18 and F19 on quarterly basis;</w:t>
      </w:r>
    </w:p>
    <w:p w14:paraId="6ED0B7AA" w14:textId="735F2099" w:rsidR="002311BA" w:rsidRPr="0035689D" w:rsidRDefault="002311BA" w:rsidP="0035689D">
      <w:pPr>
        <w:pStyle w:val="ListParagraph"/>
        <w:numPr>
          <w:ilvl w:val="0"/>
          <w:numId w:val="19"/>
        </w:numPr>
        <w:rPr>
          <w:rFonts w:ascii="Arial" w:eastAsia="Arial" w:hAnsi="Arial" w:cs="Arial"/>
          <w:sz w:val="20"/>
          <w:szCs w:val="20"/>
          <w:lang w:eastAsia="x-none"/>
        </w:rPr>
      </w:pPr>
      <w:r w:rsidRPr="0035689D">
        <w:rPr>
          <w:rFonts w:ascii="Arial" w:eastAsia="Arial" w:hAnsi="Arial" w:cs="Arial"/>
          <w:sz w:val="20"/>
          <w:szCs w:val="20"/>
          <w:lang w:eastAsia="x-none"/>
        </w:rPr>
        <w:t xml:space="preserve">All ITS definitions </w:t>
      </w:r>
      <w:r w:rsidRPr="00DA7242">
        <w:rPr>
          <w:rFonts w:ascii="Arial" w:eastAsia="Arial" w:hAnsi="Arial" w:cs="Arial"/>
          <w:sz w:val="20"/>
          <w:szCs w:val="20"/>
          <w:lang w:eastAsia="x-none"/>
        </w:rPr>
        <w:t>below should be linked to the applicable ITS package as at the reporting date (i.e. v2.8 before 30 June 2020 and v2.9 as of 30 June 2020).</w:t>
      </w:r>
    </w:p>
    <w:p w14:paraId="1843FF6E" w14:textId="77777777" w:rsidR="00DE18B4" w:rsidRPr="00DA7242" w:rsidRDefault="00DE18B4" w:rsidP="00DE18B4">
      <w:pPr>
        <w:pStyle w:val="ListParagraph"/>
        <w:ind w:left="0"/>
        <w:jc w:val="both"/>
        <w:rPr>
          <w:rFonts w:ascii="Arial" w:hAnsi="Arial" w:cs="Arial"/>
          <w:i/>
          <w:sz w:val="20"/>
          <w:szCs w:val="20"/>
        </w:rPr>
      </w:pPr>
    </w:p>
    <w:p w14:paraId="03AAE672" w14:textId="77777777" w:rsidR="00DE18B4" w:rsidRPr="00DA7242" w:rsidRDefault="00DE18B4" w:rsidP="00DE18B4">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1"/>
        <w:gridCol w:w="8307"/>
      </w:tblGrid>
      <w:tr w:rsidR="00DE18B4" w:rsidRPr="00DA7242" w14:paraId="4935CBA8" w14:textId="77777777" w:rsidTr="0035689D">
        <w:tc>
          <w:tcPr>
            <w:tcW w:w="129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950E79F"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307" w:type="dxa"/>
            <w:tcBorders>
              <w:top w:val="single" w:sz="4" w:space="0" w:color="auto"/>
              <w:left w:val="single" w:sz="4" w:space="0" w:color="auto"/>
              <w:bottom w:val="single" w:sz="4" w:space="0" w:color="auto"/>
              <w:right w:val="single" w:sz="4" w:space="0" w:color="auto"/>
            </w:tcBorders>
            <w:shd w:val="clear" w:color="auto" w:fill="CCCCCC"/>
            <w:hideMark/>
          </w:tcPr>
          <w:p w14:paraId="7FD27DE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DE18B4" w:rsidRPr="00DA7242" w14:paraId="27C9870A" w14:textId="77777777" w:rsidTr="0035689D">
        <w:tc>
          <w:tcPr>
            <w:tcW w:w="1299" w:type="dxa"/>
            <w:gridSpan w:val="2"/>
            <w:tcBorders>
              <w:top w:val="single" w:sz="4" w:space="0" w:color="auto"/>
              <w:left w:val="single" w:sz="4" w:space="0" w:color="auto"/>
              <w:bottom w:val="single" w:sz="4" w:space="0" w:color="auto"/>
              <w:right w:val="single" w:sz="4" w:space="0" w:color="auto"/>
            </w:tcBorders>
            <w:hideMark/>
          </w:tcPr>
          <w:p w14:paraId="2FD2CEDD"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307" w:type="dxa"/>
            <w:tcBorders>
              <w:top w:val="single" w:sz="4" w:space="0" w:color="auto"/>
              <w:left w:val="single" w:sz="4" w:space="0" w:color="auto"/>
              <w:bottom w:val="single" w:sz="4" w:space="0" w:color="auto"/>
              <w:right w:val="single" w:sz="4" w:space="0" w:color="auto"/>
            </w:tcBorders>
          </w:tcPr>
          <w:p w14:paraId="4556BE2A"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Gross carrying amount</w:t>
            </w:r>
          </w:p>
          <w:p w14:paraId="2BCA2ED8"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Paragraph 34 of Part 1 of Annex V to ITS. </w:t>
            </w:r>
          </w:p>
          <w:p w14:paraId="0673E94B" w14:textId="6BCB840C"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The </w:t>
            </w:r>
            <w:r w:rsidR="00533CB4" w:rsidRPr="00DA7242">
              <w:rPr>
                <w:rFonts w:ascii="Arial" w:eastAsia="Times New Roman" w:hAnsi="Arial" w:cs="Arial"/>
                <w:sz w:val="20"/>
                <w:szCs w:val="20"/>
              </w:rPr>
              <w:t>amount reported in this column corresponds</w:t>
            </w:r>
            <w:r w:rsidRPr="00DA7242">
              <w:rPr>
                <w:rFonts w:ascii="Arial" w:eastAsia="Times New Roman" w:hAnsi="Arial" w:cs="Arial"/>
                <w:sz w:val="20"/>
                <w:szCs w:val="20"/>
              </w:rPr>
              <w:t xml:space="preserve"> to the sum of amounts reported in columns 0020 and 00</w:t>
            </w:r>
            <w:r w:rsidR="007128B8" w:rsidRPr="00DA7242">
              <w:rPr>
                <w:rFonts w:ascii="Arial" w:eastAsia="Times New Roman" w:hAnsi="Arial" w:cs="Arial"/>
                <w:sz w:val="20"/>
                <w:szCs w:val="20"/>
              </w:rPr>
              <w:t>4</w:t>
            </w:r>
            <w:r w:rsidRPr="00DA7242">
              <w:rPr>
                <w:rFonts w:ascii="Arial" w:eastAsia="Times New Roman" w:hAnsi="Arial" w:cs="Arial"/>
                <w:sz w:val="20"/>
                <w:szCs w:val="20"/>
              </w:rPr>
              <w:t>0.</w:t>
            </w:r>
          </w:p>
        </w:tc>
      </w:tr>
      <w:tr w:rsidR="00DE18B4" w:rsidRPr="00DA7242" w14:paraId="0FA2F549"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794E4539"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307" w:type="dxa"/>
            <w:tcBorders>
              <w:top w:val="single" w:sz="4" w:space="0" w:color="auto"/>
              <w:left w:val="single" w:sz="4" w:space="0" w:color="auto"/>
              <w:bottom w:val="single" w:sz="4" w:space="0" w:color="auto"/>
              <w:right w:val="single" w:sz="4" w:space="0" w:color="auto"/>
            </w:tcBorders>
          </w:tcPr>
          <w:p w14:paraId="4AC29D8F"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Performing </w:t>
            </w:r>
          </w:p>
          <w:p w14:paraId="2723488C"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Paragraph 34 of Part 1 and paragraphs 213-239 of Part 2 of Annex V to ITS. </w:t>
            </w:r>
          </w:p>
        </w:tc>
      </w:tr>
      <w:tr w:rsidR="00DE18B4" w:rsidRPr="00DA7242" w14:paraId="6A15A572"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78FBF470" w14:textId="79959FB4"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3</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74DD60E6"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6BDB4D44" w14:textId="73653D04" w:rsidR="00DE18B4" w:rsidRPr="00DA7242" w:rsidRDefault="000F10F3"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47b CRR; p</w:t>
            </w:r>
            <w:r w:rsidR="00DE18B4" w:rsidRPr="00DA7242">
              <w:rPr>
                <w:rFonts w:ascii="Arial" w:eastAsia="Times New Roman" w:hAnsi="Arial" w:cs="Arial"/>
                <w:sz w:val="20"/>
                <w:szCs w:val="20"/>
              </w:rPr>
              <w:t>aragraph 34 of Part 1 and paragraphs 240</w:t>
            </w:r>
            <w:r w:rsidRPr="00DA7242">
              <w:rPr>
                <w:rFonts w:ascii="Arial" w:eastAsia="Times New Roman" w:hAnsi="Arial" w:cs="Arial"/>
                <w:sz w:val="20"/>
                <w:szCs w:val="20"/>
              </w:rPr>
              <w:t>-</w:t>
            </w:r>
            <w:r w:rsidR="00DE18B4" w:rsidRPr="00DA7242">
              <w:rPr>
                <w:rFonts w:ascii="Arial" w:eastAsia="Times New Roman" w:hAnsi="Arial" w:cs="Arial"/>
                <w:sz w:val="20"/>
                <w:szCs w:val="20"/>
              </w:rPr>
              <w:t>268 of Part 2 of Annex V to ITS.</w:t>
            </w:r>
          </w:p>
          <w:p w14:paraId="57301154" w14:textId="43648E1F" w:rsidR="00DE18B4" w:rsidRPr="00DA7242" w:rsidRDefault="00DE18B4" w:rsidP="00E31EA8">
            <w:pPr>
              <w:spacing w:before="120" w:after="120" w:line="240" w:lineRule="auto"/>
              <w:jc w:val="both"/>
              <w:rPr>
                <w:rFonts w:ascii="Arial" w:eastAsia="Times New Roman" w:hAnsi="Arial" w:cs="Arial"/>
                <w:sz w:val="20"/>
                <w:szCs w:val="20"/>
              </w:rPr>
            </w:pPr>
          </w:p>
        </w:tc>
      </w:tr>
      <w:tr w:rsidR="00DE18B4" w:rsidRPr="00DA7242" w14:paraId="7AFD7573" w14:textId="77777777" w:rsidTr="0035689D">
        <w:trPr>
          <w:trHeight w:val="699"/>
        </w:trPr>
        <w:tc>
          <w:tcPr>
            <w:tcW w:w="1299" w:type="dxa"/>
            <w:gridSpan w:val="2"/>
            <w:tcBorders>
              <w:top w:val="single" w:sz="4" w:space="0" w:color="auto"/>
              <w:left w:val="single" w:sz="4" w:space="0" w:color="auto"/>
              <w:bottom w:val="single" w:sz="4" w:space="0" w:color="auto"/>
              <w:right w:val="single" w:sz="4" w:space="0" w:color="auto"/>
            </w:tcBorders>
          </w:tcPr>
          <w:p w14:paraId="48D166D0" w14:textId="03AD2298"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4</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24621E91"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Non-performing </w:t>
            </w:r>
          </w:p>
          <w:p w14:paraId="633B74D2"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Article 47a (3) CRR; paragraph 34 of Part 1 and paragraphs 213-239 of Part 2 of Annex V to ITS. </w:t>
            </w:r>
          </w:p>
        </w:tc>
      </w:tr>
      <w:tr w:rsidR="00DE18B4" w:rsidRPr="00DA7242" w14:paraId="7170214F"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26883BCA" w14:textId="2414C0D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5</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536A7319"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35CE6132" w14:textId="4B36C49B" w:rsidR="00DE18B4" w:rsidRPr="00DA7242" w:rsidRDefault="000F10F3" w:rsidP="00E31EA8">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Article 47b CRR; p</w:t>
            </w:r>
            <w:r w:rsidR="00DE18B4" w:rsidRPr="00DA7242">
              <w:rPr>
                <w:rFonts w:ascii="Arial" w:eastAsia="Times New Roman" w:hAnsi="Arial" w:cs="Arial"/>
                <w:sz w:val="20"/>
                <w:szCs w:val="20"/>
              </w:rPr>
              <w:t>aragraph 34 of Part 1 and paragraphs 240</w:t>
            </w:r>
            <w:r w:rsidR="00CA6F6F" w:rsidRPr="00DA7242">
              <w:rPr>
                <w:rFonts w:ascii="Arial" w:eastAsia="Times New Roman" w:hAnsi="Arial" w:cs="Arial"/>
                <w:sz w:val="20"/>
                <w:szCs w:val="20"/>
              </w:rPr>
              <w:t>-</w:t>
            </w:r>
            <w:r w:rsidR="00DE18B4" w:rsidRPr="00DA7242">
              <w:rPr>
                <w:rFonts w:ascii="Arial" w:eastAsia="Times New Roman" w:hAnsi="Arial" w:cs="Arial"/>
                <w:sz w:val="20"/>
                <w:szCs w:val="20"/>
              </w:rPr>
              <w:t xml:space="preserve">268 of Part 2 of Annex V to ITS.  </w:t>
            </w:r>
          </w:p>
          <w:p w14:paraId="49739035" w14:textId="0D776D59" w:rsidR="00DE18B4" w:rsidRPr="00DA7242" w:rsidRDefault="00DE18B4" w:rsidP="00E31EA8">
            <w:pPr>
              <w:spacing w:before="120" w:after="120" w:line="240" w:lineRule="auto"/>
              <w:rPr>
                <w:rFonts w:ascii="Arial" w:eastAsia="Times New Roman" w:hAnsi="Arial" w:cs="Arial"/>
                <w:sz w:val="20"/>
                <w:szCs w:val="20"/>
              </w:rPr>
            </w:pPr>
          </w:p>
        </w:tc>
      </w:tr>
      <w:tr w:rsidR="00DE18B4" w:rsidRPr="00DA7242" w14:paraId="1B3032AF"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75BACEA7" w14:textId="39AAA13C"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6</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1A96DFB8"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Unlikely to pay that are not past-due or past-due &lt;= 90 days</w:t>
            </w:r>
          </w:p>
          <w:p w14:paraId="291163D9" w14:textId="77777777" w:rsidR="00DE18B4" w:rsidRPr="00DA7242" w:rsidRDefault="00DE18B4" w:rsidP="00E31EA8">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Paragraphs 34 and paragraph 236 of Part 2 of Annex V to ITS.</w:t>
            </w:r>
          </w:p>
        </w:tc>
      </w:tr>
      <w:tr w:rsidR="00DE18B4" w:rsidRPr="00DA7242" w14:paraId="5C6467CD" w14:textId="77777777" w:rsidTr="0035689D">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315158E" w14:textId="61F85396"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A2351D" w:rsidRPr="00DA7242">
              <w:rPr>
                <w:rFonts w:ascii="Arial" w:eastAsia="Times New Roman" w:hAnsi="Arial" w:cs="Arial"/>
                <w:sz w:val="20"/>
                <w:szCs w:val="20"/>
              </w:rPr>
              <w:t>070</w:t>
            </w:r>
          </w:p>
        </w:tc>
        <w:tc>
          <w:tcPr>
            <w:tcW w:w="8307" w:type="dxa"/>
            <w:tcBorders>
              <w:top w:val="single" w:sz="4" w:space="0" w:color="auto"/>
              <w:left w:val="single" w:sz="4" w:space="0" w:color="auto"/>
              <w:bottom w:val="single" w:sz="4" w:space="0" w:color="auto"/>
              <w:right w:val="single" w:sz="4" w:space="0" w:color="auto"/>
            </w:tcBorders>
            <w:shd w:val="clear" w:color="auto" w:fill="auto"/>
          </w:tcPr>
          <w:p w14:paraId="7AE8A1FA"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Accumulated impairment, accumulated negative changes in fair value due to credit risk</w:t>
            </w:r>
          </w:p>
          <w:p w14:paraId="499AF944"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 xml:space="preserve">71 of Part 2 of Annex V to ITS.  </w:t>
            </w:r>
          </w:p>
          <w:p w14:paraId="595992DF" w14:textId="7A52D7F1" w:rsidR="00DE18B4" w:rsidRPr="00DA7242" w:rsidRDefault="00533CB4" w:rsidP="00533CB4">
            <w:pPr>
              <w:spacing w:before="120" w:after="120" w:line="240" w:lineRule="auto"/>
              <w:jc w:val="both"/>
              <w:rPr>
                <w:rFonts w:ascii="Arial" w:hAnsi="Arial" w:cs="Arial"/>
                <w:sz w:val="20"/>
                <w:szCs w:val="20"/>
              </w:rPr>
            </w:pPr>
            <w:r w:rsidRPr="00DA7242">
              <w:rPr>
                <w:rFonts w:ascii="Arial" w:eastAsia="Times New Roman" w:hAnsi="Arial" w:cs="Arial"/>
                <w:sz w:val="20"/>
                <w:szCs w:val="20"/>
              </w:rPr>
              <w:t>The amount</w:t>
            </w:r>
            <w:r w:rsidR="000260F5" w:rsidRPr="00DA7242">
              <w:rPr>
                <w:rFonts w:ascii="Arial" w:eastAsia="Times New Roman" w:hAnsi="Arial" w:cs="Arial"/>
                <w:sz w:val="20"/>
                <w:szCs w:val="20"/>
              </w:rPr>
              <w:t>s</w:t>
            </w:r>
            <w:r w:rsidR="00DE18B4" w:rsidRPr="00DA7242">
              <w:rPr>
                <w:rFonts w:ascii="Arial" w:eastAsia="Times New Roman" w:hAnsi="Arial" w:cs="Arial"/>
                <w:sz w:val="20"/>
                <w:szCs w:val="20"/>
              </w:rPr>
              <w:t xml:space="preserve"> reported in this column correspond to the sum of the amounts reported in columns 0</w:t>
            </w:r>
            <w:r w:rsidR="00A2351D" w:rsidRPr="00DA7242">
              <w:rPr>
                <w:rFonts w:ascii="Arial" w:eastAsia="Times New Roman" w:hAnsi="Arial" w:cs="Arial"/>
                <w:sz w:val="20"/>
                <w:szCs w:val="20"/>
              </w:rPr>
              <w:t>080</w:t>
            </w:r>
            <w:r w:rsidR="00DE18B4" w:rsidRPr="00DA7242">
              <w:rPr>
                <w:rFonts w:ascii="Arial" w:eastAsia="Times New Roman" w:hAnsi="Arial" w:cs="Arial"/>
                <w:sz w:val="20"/>
                <w:szCs w:val="20"/>
              </w:rPr>
              <w:t xml:space="preserve"> and 0</w:t>
            </w:r>
            <w:r w:rsidR="00A2351D" w:rsidRPr="00DA7242">
              <w:rPr>
                <w:rFonts w:ascii="Arial" w:eastAsia="Times New Roman" w:hAnsi="Arial" w:cs="Arial"/>
                <w:sz w:val="20"/>
                <w:szCs w:val="20"/>
              </w:rPr>
              <w:t>10</w:t>
            </w:r>
            <w:r w:rsidR="00DE18B4" w:rsidRPr="00DA7242">
              <w:rPr>
                <w:rFonts w:ascii="Arial" w:eastAsia="Times New Roman" w:hAnsi="Arial" w:cs="Arial"/>
                <w:sz w:val="20"/>
                <w:szCs w:val="20"/>
              </w:rPr>
              <w:t>0.</w:t>
            </w:r>
          </w:p>
        </w:tc>
      </w:tr>
      <w:tr w:rsidR="00DE18B4" w:rsidRPr="00DA7242" w14:paraId="416A8AA0"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12EF07CE" w14:textId="5733359B"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w:t>
            </w:r>
            <w:r w:rsidR="00266E37" w:rsidRPr="00DA7242">
              <w:rPr>
                <w:rFonts w:ascii="Arial" w:eastAsia="Times New Roman" w:hAnsi="Arial" w:cs="Arial"/>
                <w:sz w:val="20"/>
                <w:szCs w:val="20"/>
              </w:rPr>
              <w:t>0</w:t>
            </w:r>
            <w:r w:rsidR="00A2351D" w:rsidRPr="00DA7242">
              <w:rPr>
                <w:rFonts w:ascii="Arial" w:eastAsia="Times New Roman" w:hAnsi="Arial" w:cs="Arial"/>
                <w:sz w:val="20"/>
                <w:szCs w:val="20"/>
              </w:rPr>
              <w:t>8</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770B25A0"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Performing</w:t>
            </w:r>
          </w:p>
          <w:p w14:paraId="01AF6962" w14:textId="629C5B4A" w:rsidR="00DE18B4" w:rsidRPr="00DA7242" w:rsidRDefault="00DE18B4" w:rsidP="00C1136C">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2311BA" w:rsidRPr="00DA7242">
              <w:rPr>
                <w:rFonts w:ascii="Arial" w:eastAsia="Times New Roman" w:hAnsi="Arial" w:cs="Arial"/>
                <w:sz w:val="20"/>
                <w:szCs w:val="20"/>
              </w:rPr>
              <w:t>-</w:t>
            </w:r>
            <w:r w:rsidRPr="00DA7242">
              <w:rPr>
                <w:rFonts w:ascii="Arial" w:eastAsia="Times New Roman" w:hAnsi="Arial" w:cs="Arial"/>
                <w:sz w:val="20"/>
                <w:szCs w:val="20"/>
              </w:rPr>
              <w:t>71 and paragraphs 213-239 of Part 2 of Annex V to ITS.</w:t>
            </w:r>
          </w:p>
        </w:tc>
      </w:tr>
      <w:tr w:rsidR="00DE18B4" w:rsidRPr="00DA7242" w14:paraId="06147E34"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0BD25DCF" w14:textId="236719E0"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266E37" w:rsidRPr="00DA7242">
              <w:rPr>
                <w:rFonts w:ascii="Arial" w:eastAsia="Times New Roman" w:hAnsi="Arial" w:cs="Arial"/>
                <w:sz w:val="20"/>
                <w:szCs w:val="20"/>
              </w:rPr>
              <w:t>0</w:t>
            </w:r>
            <w:r w:rsidR="00A2351D" w:rsidRPr="00DA7242">
              <w:rPr>
                <w:rFonts w:ascii="Arial" w:eastAsia="Times New Roman" w:hAnsi="Arial" w:cs="Arial"/>
                <w:sz w:val="20"/>
                <w:szCs w:val="20"/>
              </w:rPr>
              <w:t>9</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20659695"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744E976F" w14:textId="455860BF"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paragraphs 240</w:t>
            </w:r>
            <w:r w:rsidR="001648FE" w:rsidRPr="00DA7242">
              <w:rPr>
                <w:rFonts w:ascii="Arial" w:eastAsia="Times New Roman" w:hAnsi="Arial" w:cs="Arial"/>
                <w:sz w:val="20"/>
                <w:szCs w:val="20"/>
              </w:rPr>
              <w:t>-</w:t>
            </w:r>
            <w:r w:rsidRPr="00DA7242">
              <w:rPr>
                <w:rFonts w:ascii="Arial" w:eastAsia="Times New Roman" w:hAnsi="Arial" w:cs="Arial"/>
                <w:sz w:val="20"/>
                <w:szCs w:val="20"/>
              </w:rPr>
              <w:t>268 of Part 2 of Annex V to ITS.</w:t>
            </w:r>
          </w:p>
        </w:tc>
      </w:tr>
      <w:tr w:rsidR="00DE18B4" w:rsidRPr="00DA7242" w14:paraId="2C6EF7E0"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08AEBBD3" w14:textId="6A8445F8"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w:t>
            </w:r>
            <w:r w:rsidR="00A2351D" w:rsidRPr="00DA7242">
              <w:rPr>
                <w:rFonts w:ascii="Arial" w:eastAsia="Times New Roman" w:hAnsi="Arial" w:cs="Arial"/>
                <w:sz w:val="20"/>
                <w:szCs w:val="20"/>
              </w:rPr>
              <w:t>0</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326836CA"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Non-performing</w:t>
            </w:r>
          </w:p>
          <w:p w14:paraId="630AB281" w14:textId="77777777"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paragraphs 213-239 of Part 2 of Annex V to ITS.</w:t>
            </w:r>
          </w:p>
        </w:tc>
      </w:tr>
      <w:tr w:rsidR="00DE18B4" w:rsidRPr="00DA7242" w14:paraId="60D14A56"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19F4B215" w14:textId="6F7D18FA" w:rsidR="00DE18B4" w:rsidRPr="00DA7242" w:rsidRDefault="00DE18B4" w:rsidP="00A2351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w:t>
            </w:r>
            <w:r w:rsidR="00A2351D" w:rsidRPr="00DA7242">
              <w:rPr>
                <w:rFonts w:ascii="Arial" w:eastAsia="Times New Roman" w:hAnsi="Arial" w:cs="Arial"/>
                <w:sz w:val="20"/>
                <w:szCs w:val="20"/>
              </w:rPr>
              <w:t>1</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5B60802E"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20225987" w14:textId="2D341F84"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paragraphs 240</w:t>
            </w:r>
            <w:r w:rsidR="001648FE" w:rsidRPr="00DA7242">
              <w:rPr>
                <w:rFonts w:ascii="Arial" w:eastAsia="Times New Roman" w:hAnsi="Arial" w:cs="Arial"/>
                <w:sz w:val="20"/>
                <w:szCs w:val="20"/>
              </w:rPr>
              <w:t>-</w:t>
            </w:r>
            <w:r w:rsidRPr="00DA7242">
              <w:rPr>
                <w:rFonts w:ascii="Arial" w:eastAsia="Times New Roman" w:hAnsi="Arial" w:cs="Arial"/>
                <w:sz w:val="20"/>
                <w:szCs w:val="20"/>
              </w:rPr>
              <w:t>268 of Part 2 of Annex V to ITS.</w:t>
            </w:r>
          </w:p>
        </w:tc>
      </w:tr>
      <w:tr w:rsidR="00DE18B4" w:rsidRPr="00DA7242" w14:paraId="63A37FDB"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581DAB38" w14:textId="43A9C59F"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w:t>
            </w:r>
            <w:r w:rsidR="00A2351D" w:rsidRPr="00DA7242">
              <w:rPr>
                <w:rFonts w:ascii="Arial" w:eastAsia="Times New Roman" w:hAnsi="Arial" w:cs="Arial"/>
                <w:sz w:val="20"/>
                <w:szCs w:val="20"/>
              </w:rPr>
              <w:t>2</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053E655B"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Unlikely to pay that are not past-due or past-due &lt;= 90 day</w:t>
            </w:r>
          </w:p>
          <w:p w14:paraId="45C2F7A6" w14:textId="77777777"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 236 of Part 2 of Annex V to ITS.</w:t>
            </w:r>
          </w:p>
        </w:tc>
      </w:tr>
      <w:tr w:rsidR="00DE18B4" w:rsidRPr="00DA7242" w14:paraId="222B296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79952931"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br w:type="page"/>
              <w:t>Rows</w:t>
            </w:r>
          </w:p>
        </w:tc>
        <w:tc>
          <w:tcPr>
            <w:tcW w:w="8418"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A5A3835"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1E329F" w:rsidRPr="00DA7242" w14:paraId="0E075500"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31EE7774" w14:textId="630F4737"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10</w:t>
            </w:r>
          </w:p>
        </w:tc>
        <w:tc>
          <w:tcPr>
            <w:tcW w:w="8418" w:type="dxa"/>
            <w:gridSpan w:val="2"/>
            <w:tcBorders>
              <w:top w:val="single" w:sz="4" w:space="0" w:color="auto"/>
              <w:left w:val="single" w:sz="4" w:space="0" w:color="auto"/>
              <w:bottom w:val="single" w:sz="4" w:space="0" w:color="auto"/>
              <w:right w:val="single" w:sz="4" w:space="0" w:color="auto"/>
            </w:tcBorders>
          </w:tcPr>
          <w:p w14:paraId="24695CE8" w14:textId="77777777" w:rsidR="001E329F" w:rsidRPr="00DA7242" w:rsidRDefault="001E329F"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Total Loans and Advances (FINREP – F18/F19)</w:t>
            </w:r>
          </w:p>
          <w:p w14:paraId="791DF9DC" w14:textId="77777777"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This row should include the total amount of loans and advance under the relevant accounting portfolios as reported in FINREP. Institution should report the total of loans and advances that are required to be reported in Row 070, 191 and 221 of FINREP – F </w:t>
            </w:r>
            <w:proofErr w:type="gramStart"/>
            <w:r w:rsidRPr="00DA7242">
              <w:rPr>
                <w:rFonts w:ascii="Arial" w:eastAsia="Times New Roman" w:hAnsi="Arial" w:cs="Arial"/>
                <w:sz w:val="20"/>
                <w:szCs w:val="20"/>
              </w:rPr>
              <w:t>18  and</w:t>
            </w:r>
            <w:proofErr w:type="gramEnd"/>
            <w:r w:rsidRPr="00DA7242">
              <w:rPr>
                <w:rFonts w:ascii="Arial" w:eastAsia="Times New Roman" w:hAnsi="Arial" w:cs="Arial"/>
                <w:sz w:val="20"/>
                <w:szCs w:val="20"/>
              </w:rPr>
              <w:t xml:space="preserve"> F 19.</w:t>
            </w:r>
          </w:p>
        </w:tc>
      </w:tr>
      <w:tr w:rsidR="001E329F" w:rsidRPr="00DA7242" w14:paraId="7249B135"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4A54A004" w14:textId="5C2BFCBE"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20</w:t>
            </w:r>
          </w:p>
        </w:tc>
        <w:tc>
          <w:tcPr>
            <w:tcW w:w="8418" w:type="dxa"/>
            <w:gridSpan w:val="2"/>
            <w:tcBorders>
              <w:top w:val="single" w:sz="4" w:space="0" w:color="auto"/>
              <w:left w:val="single" w:sz="4" w:space="0" w:color="auto"/>
              <w:bottom w:val="single" w:sz="4" w:space="0" w:color="auto"/>
              <w:right w:val="single" w:sz="4" w:space="0" w:color="auto"/>
            </w:tcBorders>
          </w:tcPr>
          <w:p w14:paraId="2B8B8A14"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Households</w:t>
            </w:r>
          </w:p>
          <w:p w14:paraId="233CE5D4"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(f) of paragraph 42 of Part 1 of Annex V to ITS.</w:t>
            </w:r>
          </w:p>
        </w:tc>
      </w:tr>
      <w:tr w:rsidR="001E329F" w:rsidRPr="00DA7242" w14:paraId="69667176"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10202B21" w14:textId="1E8BF737"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30</w:t>
            </w:r>
          </w:p>
        </w:tc>
        <w:tc>
          <w:tcPr>
            <w:tcW w:w="8418" w:type="dxa"/>
            <w:gridSpan w:val="2"/>
            <w:tcBorders>
              <w:top w:val="single" w:sz="4" w:space="0" w:color="auto"/>
              <w:left w:val="single" w:sz="4" w:space="0" w:color="auto"/>
              <w:bottom w:val="single" w:sz="4" w:space="0" w:color="auto"/>
              <w:right w:val="single" w:sz="4" w:space="0" w:color="auto"/>
            </w:tcBorders>
          </w:tcPr>
          <w:p w14:paraId="3D23419E"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Collateralised by residential immovable property</w:t>
            </w:r>
          </w:p>
          <w:p w14:paraId="0C991FD2"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(a) of paragraph 86 and paragraph 87 of Part 2 of Annex V to ITS.</w:t>
            </w:r>
          </w:p>
        </w:tc>
      </w:tr>
      <w:tr w:rsidR="001E329F" w:rsidRPr="00DA7242" w14:paraId="6CA3E1FF"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1A1BA239" w14:textId="7A97CBEC"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A2351D" w:rsidRPr="00DA7242">
              <w:rPr>
                <w:rFonts w:ascii="Arial" w:eastAsia="Times New Roman" w:hAnsi="Arial" w:cs="Arial"/>
                <w:sz w:val="20"/>
                <w:szCs w:val="20"/>
              </w:rPr>
              <w:t>040</w:t>
            </w:r>
          </w:p>
        </w:tc>
        <w:tc>
          <w:tcPr>
            <w:tcW w:w="8418" w:type="dxa"/>
            <w:gridSpan w:val="2"/>
            <w:tcBorders>
              <w:top w:val="single" w:sz="4" w:space="0" w:color="auto"/>
              <w:left w:val="single" w:sz="4" w:space="0" w:color="auto"/>
              <w:bottom w:val="single" w:sz="4" w:space="0" w:color="auto"/>
              <w:right w:val="single" w:sz="4" w:space="0" w:color="auto"/>
            </w:tcBorders>
          </w:tcPr>
          <w:p w14:paraId="312B1CD4"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Non-financial corporations</w:t>
            </w:r>
          </w:p>
          <w:p w14:paraId="5DFDCCBA"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Letter (e) of paragraph 42 of Part 1 of Annex V to ITS. </w:t>
            </w:r>
          </w:p>
        </w:tc>
      </w:tr>
      <w:tr w:rsidR="001E329F" w:rsidRPr="00DA7242" w14:paraId="2CACF232"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6621D916" w14:textId="2C771FDC"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A2351D" w:rsidRPr="00DA7242">
              <w:rPr>
                <w:rFonts w:ascii="Arial" w:eastAsia="Times New Roman" w:hAnsi="Arial" w:cs="Arial"/>
                <w:sz w:val="20"/>
                <w:szCs w:val="20"/>
              </w:rPr>
              <w:t>050</w:t>
            </w:r>
          </w:p>
        </w:tc>
        <w:tc>
          <w:tcPr>
            <w:tcW w:w="8418" w:type="dxa"/>
            <w:gridSpan w:val="2"/>
            <w:tcBorders>
              <w:top w:val="single" w:sz="4" w:space="0" w:color="auto"/>
              <w:left w:val="single" w:sz="4" w:space="0" w:color="auto"/>
              <w:bottom w:val="single" w:sz="4" w:space="0" w:color="auto"/>
              <w:right w:val="single" w:sz="4" w:space="0" w:color="auto"/>
            </w:tcBorders>
          </w:tcPr>
          <w:p w14:paraId="3B921F19"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Of which: Small and Medium-sized Enterprises </w:t>
            </w:r>
          </w:p>
          <w:p w14:paraId="6FBFD074"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w:t>
            </w:r>
            <w:proofErr w:type="spellStart"/>
            <w:r w:rsidRPr="00DA7242">
              <w:rPr>
                <w:rFonts w:ascii="Arial" w:eastAsia="Times New Roman" w:hAnsi="Arial" w:cs="Arial"/>
                <w:sz w:val="20"/>
                <w:szCs w:val="20"/>
              </w:rPr>
              <w:t>i</w:t>
            </w:r>
            <w:proofErr w:type="spellEnd"/>
            <w:r w:rsidRPr="00DA7242">
              <w:rPr>
                <w:rFonts w:ascii="Arial" w:eastAsia="Times New Roman" w:hAnsi="Arial" w:cs="Arial"/>
                <w:sz w:val="20"/>
                <w:szCs w:val="20"/>
              </w:rPr>
              <w:t xml:space="preserve">) of paragraph 5 of Part 1 of Annex V to ITS.  </w:t>
            </w:r>
          </w:p>
        </w:tc>
      </w:tr>
    </w:tbl>
    <w:p w14:paraId="4F724C68" w14:textId="77777777" w:rsidR="00DE18B4" w:rsidRPr="00DA7242" w:rsidRDefault="00DE18B4" w:rsidP="00DE18B4">
      <w:pPr>
        <w:rPr>
          <w:rFonts w:ascii="Arial" w:hAnsi="Arial" w:cs="Arial"/>
          <w:b/>
          <w:sz w:val="20"/>
          <w:szCs w:val="20"/>
        </w:rPr>
      </w:pPr>
    </w:p>
    <w:p w14:paraId="3EE1CDC4" w14:textId="3F458C17" w:rsidR="00325EC7" w:rsidRPr="00DA7242" w:rsidRDefault="002311BA" w:rsidP="00325EC7">
      <w:pPr>
        <w:jc w:val="center"/>
        <w:rPr>
          <w:rFonts w:ascii="Arial" w:hAnsi="Arial" w:cs="Arial"/>
          <w:b/>
          <w:sz w:val="20"/>
          <w:szCs w:val="20"/>
        </w:rPr>
      </w:pPr>
      <w:r w:rsidRPr="00DA7242">
        <w:rPr>
          <w:rFonts w:ascii="Arial" w:hAnsi="Arial" w:cs="Arial"/>
          <w:b/>
          <w:sz w:val="20"/>
          <w:szCs w:val="20"/>
        </w:rPr>
        <w:t xml:space="preserve">Table </w:t>
      </w:r>
      <w:r w:rsidR="00DE18B4" w:rsidRPr="00DA7242">
        <w:rPr>
          <w:rFonts w:ascii="Arial" w:hAnsi="Arial" w:cs="Arial"/>
          <w:b/>
          <w:sz w:val="20"/>
          <w:szCs w:val="20"/>
        </w:rPr>
        <w:t>4.</w:t>
      </w:r>
      <w:r w:rsidR="00A07835" w:rsidRPr="00DA7242">
        <w:rPr>
          <w:rFonts w:ascii="Arial" w:hAnsi="Arial" w:cs="Arial"/>
          <w:b/>
          <w:sz w:val="20"/>
          <w:szCs w:val="20"/>
        </w:rPr>
        <w:t>2</w:t>
      </w:r>
      <w:r w:rsidR="00DE18B4" w:rsidRPr="00DA7242">
        <w:rPr>
          <w:rFonts w:ascii="Arial" w:hAnsi="Arial" w:cs="Arial"/>
          <w:b/>
          <w:sz w:val="20"/>
          <w:szCs w:val="20"/>
        </w:rPr>
        <w:t xml:space="preserve"> Breakdown of loans and advances to Non-financial corporations by NACE</w:t>
      </w:r>
      <w:r w:rsidR="006C013B" w:rsidRPr="00DA7242">
        <w:rPr>
          <w:rFonts w:ascii="Arial" w:hAnsi="Arial" w:cs="Arial"/>
          <w:b/>
          <w:sz w:val="20"/>
          <w:szCs w:val="20"/>
        </w:rPr>
        <w:t xml:space="preserve"> codes</w:t>
      </w:r>
      <w:r w:rsidR="00325EC7" w:rsidRPr="00DA7242">
        <w:rPr>
          <w:rFonts w:ascii="Arial" w:hAnsi="Arial" w:cs="Arial"/>
          <w:b/>
          <w:sz w:val="20"/>
          <w:szCs w:val="20"/>
        </w:rPr>
        <w:t xml:space="preserve"> </w:t>
      </w:r>
    </w:p>
    <w:p w14:paraId="779F9F62" w14:textId="77777777" w:rsidR="00325EC7" w:rsidRPr="00DA7242" w:rsidRDefault="00325EC7"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41B261DF" w14:textId="77777777" w:rsidR="00325EC7" w:rsidRPr="00DA7242" w:rsidRDefault="00325EC7" w:rsidP="00325EC7">
      <w:pPr>
        <w:pStyle w:val="ListParagraph"/>
        <w:spacing w:after="160" w:line="259" w:lineRule="auto"/>
        <w:ind w:left="360"/>
        <w:jc w:val="both"/>
        <w:rPr>
          <w:rFonts w:ascii="Arial" w:eastAsia="Arial" w:hAnsi="Arial" w:cs="Arial"/>
          <w:sz w:val="20"/>
          <w:szCs w:val="20"/>
          <w:lang w:eastAsia="x-none"/>
        </w:rPr>
      </w:pPr>
    </w:p>
    <w:p w14:paraId="288B0C3A" w14:textId="5BDB9A8E" w:rsidR="002311BA" w:rsidRPr="00DA7242" w:rsidRDefault="002311BA" w:rsidP="0035689D">
      <w:pPr>
        <w:pStyle w:val="ListParagraph"/>
        <w:numPr>
          <w:ilvl w:val="0"/>
          <w:numId w:val="19"/>
        </w:numPr>
        <w:rPr>
          <w:rFonts w:ascii="Arial" w:eastAsia="Arial" w:hAnsi="Arial" w:cs="Arial"/>
          <w:sz w:val="20"/>
          <w:szCs w:val="20"/>
          <w:lang w:eastAsia="x-none"/>
        </w:rPr>
      </w:pPr>
      <w:r w:rsidRPr="00DA7242">
        <w:rPr>
          <w:rFonts w:ascii="Arial" w:eastAsia="Arial" w:hAnsi="Arial" w:cs="Arial"/>
          <w:sz w:val="20"/>
          <w:szCs w:val="20"/>
          <w:lang w:eastAsia="x-none"/>
        </w:rPr>
        <w:t>The template provides a breakdown of the gross carrying amount and the related loss allowances by status of exposures (performing and non-performing), leveraging fully on the information and definitions reported in the FINREP template F06 on quarterly basis;</w:t>
      </w:r>
    </w:p>
    <w:p w14:paraId="7960DF57" w14:textId="1CD65124" w:rsidR="002311BA" w:rsidRPr="00DA7242" w:rsidRDefault="00C35709" w:rsidP="002311BA">
      <w:pPr>
        <w:pStyle w:val="ListParagraph"/>
        <w:numPr>
          <w:ilvl w:val="0"/>
          <w:numId w:val="19"/>
        </w:numPr>
        <w:rPr>
          <w:rFonts w:ascii="Arial" w:eastAsia="Arial" w:hAnsi="Arial" w:cs="Arial"/>
          <w:sz w:val="20"/>
          <w:szCs w:val="20"/>
          <w:lang w:eastAsia="x-none"/>
        </w:rPr>
      </w:pPr>
      <w:r w:rsidRPr="00DA7242">
        <w:rPr>
          <w:rFonts w:ascii="Arial" w:eastAsia="Arial" w:hAnsi="Arial" w:cs="Arial"/>
          <w:sz w:val="20"/>
          <w:szCs w:val="20"/>
          <w:lang w:eastAsia="x-none"/>
        </w:rPr>
        <w:t>All ITS definitions below should be linked to the applicable ITS package as at the reporting date (i.e. v2.8 before 30 June 2020 and v2.9 as of 30 June 2020)</w:t>
      </w:r>
      <w:r w:rsidR="002311BA" w:rsidRPr="00DA7242">
        <w:rPr>
          <w:rFonts w:ascii="Arial" w:eastAsia="Arial" w:hAnsi="Arial" w:cs="Arial"/>
          <w:sz w:val="20"/>
          <w:szCs w:val="20"/>
          <w:lang w:eastAsia="x-none"/>
        </w:rPr>
        <w:t>.</w:t>
      </w:r>
    </w:p>
    <w:p w14:paraId="13ED4143" w14:textId="77777777" w:rsidR="006F053A" w:rsidRPr="00DA7242" w:rsidRDefault="006F053A" w:rsidP="0035689D">
      <w:pPr>
        <w:pStyle w:val="ListParagraph"/>
        <w:ind w:left="360"/>
        <w:rPr>
          <w:rFonts w:ascii="Arial" w:eastAsia="Arial" w:hAnsi="Arial" w:cs="Arial"/>
          <w:sz w:val="20"/>
          <w:szCs w:val="20"/>
          <w:lang w:eastAsia="x-none"/>
        </w:rPr>
      </w:pPr>
    </w:p>
    <w:p w14:paraId="65DAF4C5" w14:textId="5C33EF0E" w:rsidR="00DE18B4" w:rsidRPr="0035689D" w:rsidRDefault="00DE18B4"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DE18B4" w:rsidRPr="00DA7242" w14:paraId="5CCEB13C"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BED04FB"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6EE4DBB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DE18B4" w:rsidRPr="00DA7242" w14:paraId="5BB13746"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0072210B"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lastRenderedPageBreak/>
              <w:t>0010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356A5918"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Gross carrying amount</w:t>
            </w:r>
          </w:p>
          <w:p w14:paraId="4BE8CD1A"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 xml:space="preserve">Paragraph 34 of Part 1 of Annex V to ITS. </w:t>
            </w:r>
          </w:p>
          <w:p w14:paraId="12EBA23E" w14:textId="4F66C0AE" w:rsidR="00FD2545" w:rsidRPr="00DA7242" w:rsidRDefault="00FD2545" w:rsidP="00E31EA8">
            <w:pPr>
              <w:spacing w:before="120" w:after="120" w:line="240" w:lineRule="auto"/>
              <w:jc w:val="both"/>
              <w:rPr>
                <w:rFonts w:ascii="Arial" w:eastAsia="Times New Roman" w:hAnsi="Arial" w:cs="Arial"/>
                <w:sz w:val="20"/>
                <w:szCs w:val="20"/>
                <w:lang w:bidi="ne-NP"/>
              </w:rPr>
            </w:pPr>
            <w:r w:rsidRPr="0035689D">
              <w:rPr>
                <w:rFonts w:ascii="Arial" w:eastAsia="Times New Roman" w:hAnsi="Arial" w:cs="Arial"/>
                <w:sz w:val="20"/>
                <w:szCs w:val="20"/>
              </w:rPr>
              <w:t>The amount in this column corresponds to the sum of amounts reported in columns 0020 and 0030.</w:t>
            </w:r>
          </w:p>
          <w:p w14:paraId="3D114C84"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DE18B4" w:rsidRPr="00DA7242" w14:paraId="5A0C811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38A251A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0020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4623F3C6"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Of which: Performing exposure</w:t>
            </w:r>
          </w:p>
          <w:p w14:paraId="6C4BC6E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Paragraph 34 of Part 1 and paragraphs 213-239 of Part 2 of Annex V to ITS.</w:t>
            </w:r>
          </w:p>
          <w:p w14:paraId="321B3D54"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DE18B4" w:rsidRPr="00DA7242" w14:paraId="311214A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2CC0B3A2"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0030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77B81FBF"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Of which: Non-performing exposure</w:t>
            </w:r>
          </w:p>
          <w:p w14:paraId="6DA6D0AE"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Article 47a (3) CRR; paragraph 34 of Part 1 and paragraphs 213-239 of Part 2 of Annex V to ITS.</w:t>
            </w:r>
          </w:p>
          <w:p w14:paraId="33A08B70"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DE18B4" w:rsidRPr="00DA7242" w14:paraId="07D12F15"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1DAE9FF6"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0040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4F3B65AD"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Accumulated impairment, accumulated negative changes in fair value due to credit risk</w:t>
            </w:r>
          </w:p>
          <w:p w14:paraId="34B8785D"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Paragraphs 69-71 of Part 2 of Annex V to ITS</w:t>
            </w:r>
          </w:p>
          <w:p w14:paraId="23EE4B73" w14:textId="33FAAFD3" w:rsidR="00DE18B4" w:rsidRPr="00DA7242" w:rsidRDefault="00DE18B4" w:rsidP="00980E4D">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w:t>
            </w:r>
            <w:r w:rsidR="00980E4D" w:rsidRPr="00DA7242">
              <w:rPr>
                <w:rFonts w:ascii="Arial" w:eastAsia="Times New Roman" w:hAnsi="Arial" w:cs="Arial"/>
                <w:sz w:val="20"/>
                <w:szCs w:val="20"/>
                <w:lang w:bidi="ne-NP"/>
              </w:rPr>
              <w:t xml:space="preserve"> sum</w:t>
            </w:r>
            <w:r w:rsidRPr="00DA7242">
              <w:rPr>
                <w:rFonts w:ascii="Arial" w:eastAsia="Times New Roman" w:hAnsi="Arial" w:cs="Arial"/>
                <w:sz w:val="20"/>
                <w:szCs w:val="20"/>
                <w:lang w:bidi="ne-NP"/>
              </w:rPr>
              <w:t xml:space="preserve"> </w:t>
            </w:r>
            <w:r w:rsidR="00980E4D" w:rsidRPr="00DA7242">
              <w:rPr>
                <w:rFonts w:ascii="Arial" w:eastAsia="Times New Roman" w:hAnsi="Arial" w:cs="Arial"/>
                <w:sz w:val="20"/>
                <w:szCs w:val="20"/>
                <w:lang w:bidi="ne-NP"/>
              </w:rPr>
              <w:t>of column 021 and 022</w:t>
            </w:r>
            <w:r w:rsidRPr="00DA7242">
              <w:rPr>
                <w:rFonts w:ascii="Arial" w:eastAsia="Times New Roman" w:hAnsi="Arial" w:cs="Arial"/>
                <w:sz w:val="20"/>
                <w:szCs w:val="20"/>
                <w:lang w:bidi="ne-NP"/>
              </w:rPr>
              <w:t xml:space="preserve"> usually reported in template F06 of FINREP.</w:t>
            </w:r>
          </w:p>
        </w:tc>
      </w:tr>
    </w:tbl>
    <w:p w14:paraId="6E190799" w14:textId="77777777" w:rsidR="00DE18B4" w:rsidRPr="00DA7242" w:rsidRDefault="00DE18B4" w:rsidP="00DE18B4">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DE18B4" w:rsidRPr="00DA7242" w14:paraId="4BE85D2C"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51455F02"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6D5AB541"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DE18B4" w:rsidRPr="00DA7242" w14:paraId="6548D20D" w14:textId="77777777" w:rsidTr="0035689D">
        <w:tc>
          <w:tcPr>
            <w:tcW w:w="1188" w:type="dxa"/>
            <w:tcBorders>
              <w:top w:val="single" w:sz="4" w:space="0" w:color="auto"/>
              <w:left w:val="single" w:sz="4" w:space="0" w:color="auto"/>
              <w:bottom w:val="single" w:sz="4" w:space="0" w:color="auto"/>
              <w:right w:val="single" w:sz="4" w:space="0" w:color="auto"/>
            </w:tcBorders>
          </w:tcPr>
          <w:p w14:paraId="2C4B43D1"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0010-0180</w:t>
            </w:r>
          </w:p>
        </w:tc>
        <w:tc>
          <w:tcPr>
            <w:tcW w:w="8418" w:type="dxa"/>
            <w:tcBorders>
              <w:top w:val="single" w:sz="4" w:space="0" w:color="auto"/>
              <w:left w:val="single" w:sz="4" w:space="0" w:color="auto"/>
              <w:bottom w:val="single" w:sz="4" w:space="0" w:color="auto"/>
              <w:right w:val="single" w:sz="4" w:space="0" w:color="auto"/>
            </w:tcBorders>
          </w:tcPr>
          <w:p w14:paraId="5E7572CE"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Loans and advances broken-down by NACE codes</w:t>
            </w:r>
          </w:p>
          <w:p w14:paraId="5AC2266C"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Regulation (EC) No 1893/2006 of the European Parliament and of the Council; paragraph 32 of Part 1 except for loans classified as ‘held for trading’, ‘trading’ and ‘Held for sale’ in accordance with the applicable accounting framework and paragraphs 91 and 92 of Part 2 of Annex V to ITS.</w:t>
            </w:r>
          </w:p>
        </w:tc>
      </w:tr>
    </w:tbl>
    <w:p w14:paraId="35AF2E3D" w14:textId="77777777" w:rsidR="00876368" w:rsidRPr="00DA7242" w:rsidRDefault="00876368" w:rsidP="00876368">
      <w:pPr>
        <w:rPr>
          <w:rFonts w:ascii="Arial" w:hAnsi="Arial" w:cs="Arial"/>
          <w:b/>
          <w:sz w:val="20"/>
          <w:szCs w:val="20"/>
        </w:rPr>
      </w:pPr>
    </w:p>
    <w:p w14:paraId="0836DBFD" w14:textId="4FF0333E" w:rsidR="00325EC7" w:rsidRPr="00DA7242" w:rsidRDefault="00C1136C" w:rsidP="00325EC7">
      <w:pPr>
        <w:jc w:val="center"/>
        <w:rPr>
          <w:rFonts w:ascii="Arial" w:hAnsi="Arial" w:cs="Arial"/>
          <w:b/>
          <w:sz w:val="20"/>
          <w:szCs w:val="20"/>
        </w:rPr>
      </w:pPr>
      <w:r w:rsidRPr="00DA7242">
        <w:rPr>
          <w:rFonts w:ascii="Arial" w:hAnsi="Arial" w:cs="Arial"/>
          <w:b/>
          <w:sz w:val="20"/>
          <w:szCs w:val="20"/>
        </w:rPr>
        <w:t xml:space="preserve">Table </w:t>
      </w:r>
      <w:r w:rsidR="00DE18B4" w:rsidRPr="00DA7242">
        <w:rPr>
          <w:rFonts w:ascii="Arial" w:hAnsi="Arial" w:cs="Arial"/>
          <w:b/>
          <w:sz w:val="20"/>
          <w:szCs w:val="20"/>
        </w:rPr>
        <w:t xml:space="preserve">5 </w:t>
      </w:r>
      <w:r w:rsidR="00645909" w:rsidRPr="00DA7242">
        <w:rPr>
          <w:rFonts w:ascii="Arial" w:hAnsi="Arial" w:cs="Arial"/>
          <w:b/>
          <w:sz w:val="20"/>
          <w:szCs w:val="20"/>
        </w:rPr>
        <w:t xml:space="preserve">- </w:t>
      </w:r>
      <w:r w:rsidR="00DE18B4" w:rsidRPr="00DA7242">
        <w:rPr>
          <w:rFonts w:ascii="Arial" w:hAnsi="Arial" w:cs="Arial"/>
          <w:b/>
          <w:sz w:val="20"/>
          <w:szCs w:val="20"/>
        </w:rPr>
        <w:t>Use of committed facilities</w:t>
      </w:r>
      <w:r w:rsidR="00325EC7" w:rsidRPr="00DA7242">
        <w:rPr>
          <w:rFonts w:ascii="Arial" w:hAnsi="Arial" w:cs="Arial"/>
          <w:b/>
          <w:sz w:val="20"/>
          <w:szCs w:val="20"/>
        </w:rPr>
        <w:t xml:space="preserve"> </w:t>
      </w:r>
    </w:p>
    <w:p w14:paraId="3BA224BE" w14:textId="77777777" w:rsidR="00325EC7" w:rsidRPr="00DA7242" w:rsidRDefault="00325EC7" w:rsidP="00325EC7">
      <w:pPr>
        <w:keepNext/>
        <w:spacing w:after="120" w:line="240" w:lineRule="auto"/>
        <w:jc w:val="both"/>
        <w:outlineLvl w:val="1"/>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566870D4" w14:textId="77777777" w:rsidR="00325EC7" w:rsidRPr="00DA7242" w:rsidRDefault="00325EC7" w:rsidP="00325EC7">
      <w:pPr>
        <w:pStyle w:val="ListParagraph"/>
        <w:spacing w:after="160" w:line="259" w:lineRule="auto"/>
        <w:ind w:left="360"/>
        <w:jc w:val="both"/>
        <w:rPr>
          <w:rFonts w:ascii="Arial" w:eastAsia="Arial" w:hAnsi="Arial" w:cs="Arial"/>
          <w:sz w:val="20"/>
          <w:szCs w:val="20"/>
          <w:lang w:eastAsia="x-none"/>
        </w:rPr>
      </w:pPr>
    </w:p>
    <w:p w14:paraId="04504964" w14:textId="3337F89C" w:rsidR="00876368" w:rsidRPr="0035689D" w:rsidRDefault="00876368" w:rsidP="0035689D">
      <w:pPr>
        <w:pStyle w:val="ListParagraph"/>
        <w:numPr>
          <w:ilvl w:val="0"/>
          <w:numId w:val="19"/>
        </w:numPr>
        <w:jc w:val="both"/>
        <w:rPr>
          <w:rFonts w:ascii="Arial" w:eastAsia="Arial" w:hAnsi="Arial" w:cs="Arial"/>
          <w:sz w:val="20"/>
          <w:szCs w:val="20"/>
          <w:lang w:eastAsia="x-none"/>
        </w:rPr>
      </w:pPr>
      <w:r w:rsidRPr="0035689D">
        <w:rPr>
          <w:rFonts w:ascii="Arial" w:eastAsia="Arial" w:hAnsi="Arial" w:cs="Arial"/>
          <w:sz w:val="20"/>
          <w:szCs w:val="20"/>
          <w:lang w:eastAsia="x-none"/>
        </w:rPr>
        <w:t xml:space="preserve">The definitions and concepts used in template </w:t>
      </w:r>
      <w:r w:rsidR="004A3671" w:rsidRPr="0035689D">
        <w:rPr>
          <w:rFonts w:ascii="Arial" w:eastAsia="Arial" w:hAnsi="Arial" w:cs="Arial"/>
          <w:sz w:val="20"/>
          <w:szCs w:val="20"/>
          <w:lang w:eastAsia="x-none"/>
        </w:rPr>
        <w:t>5</w:t>
      </w:r>
      <w:r w:rsidRPr="0035689D">
        <w:rPr>
          <w:rFonts w:ascii="Arial" w:eastAsia="Arial" w:hAnsi="Arial" w:cs="Arial"/>
          <w:sz w:val="20"/>
          <w:szCs w:val="20"/>
          <w:lang w:eastAsia="x-none"/>
        </w:rPr>
        <w:t xml:space="preserve"> should be considered as defined in the implementing technical standards (ITS) amending Commission Implementing Regulation (EU) 680/2014 on supervisory reporting of institutions with regard to COREP LCR and the corresponding template C 73 of Annex XXIV thereof.</w:t>
      </w:r>
    </w:p>
    <w:p w14:paraId="5EEE20FA" w14:textId="28CDF879" w:rsidR="00325EC7" w:rsidRPr="00DA7242" w:rsidRDefault="00C35709" w:rsidP="0035689D">
      <w:pPr>
        <w:pStyle w:val="ListParagraph"/>
        <w:numPr>
          <w:ilvl w:val="0"/>
          <w:numId w:val="19"/>
        </w:numPr>
        <w:jc w:val="both"/>
        <w:rPr>
          <w:rFonts w:ascii="Arial" w:eastAsia="Arial" w:hAnsi="Arial" w:cs="Arial"/>
          <w:sz w:val="20"/>
          <w:szCs w:val="20"/>
          <w:lang w:eastAsia="x-none"/>
        </w:rPr>
      </w:pPr>
      <w:r w:rsidRPr="00DA7242">
        <w:rPr>
          <w:rFonts w:ascii="Arial" w:eastAsia="Arial" w:hAnsi="Arial" w:cs="Arial"/>
          <w:sz w:val="20"/>
          <w:szCs w:val="20"/>
          <w:lang w:eastAsia="x-none"/>
        </w:rPr>
        <w:t>All ITS definitions below should be linked to the applicable ITS package v2.9.</w:t>
      </w:r>
    </w:p>
    <w:p w14:paraId="466C2CC1" w14:textId="77777777" w:rsidR="006F053A" w:rsidRPr="00DA7242" w:rsidRDefault="006F053A" w:rsidP="0035689D">
      <w:pPr>
        <w:pStyle w:val="ListParagraph"/>
        <w:ind w:left="360"/>
        <w:rPr>
          <w:rFonts w:ascii="Arial" w:eastAsia="Arial" w:hAnsi="Arial" w:cs="Arial"/>
          <w:sz w:val="20"/>
          <w:szCs w:val="20"/>
          <w:lang w:eastAsia="x-none"/>
        </w:rPr>
      </w:pPr>
    </w:p>
    <w:p w14:paraId="7073FBD2" w14:textId="77777777" w:rsidR="00325EC7" w:rsidRPr="00DA7242" w:rsidRDefault="00325EC7"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876368" w:rsidRPr="00DA7242" w14:paraId="69202EC0"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71C2C7D" w14:textId="62E87220"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2EE382DD" w14:textId="77777777"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876368" w:rsidRPr="00DA7242" w14:paraId="11823F39"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12AE6D1F"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010</w:t>
            </w:r>
          </w:p>
        </w:tc>
        <w:tc>
          <w:tcPr>
            <w:tcW w:w="8418" w:type="dxa"/>
            <w:tcBorders>
              <w:top w:val="single" w:sz="4" w:space="0" w:color="auto"/>
              <w:left w:val="single" w:sz="4" w:space="0" w:color="auto"/>
              <w:bottom w:val="single" w:sz="4" w:space="0" w:color="auto"/>
              <w:right w:val="single" w:sz="4" w:space="0" w:color="auto"/>
            </w:tcBorders>
            <w:vAlign w:val="center"/>
          </w:tcPr>
          <w:p w14:paraId="489CEAEB"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Total amount</w:t>
            </w:r>
          </w:p>
          <w:p w14:paraId="46ED1D1A" w14:textId="77777777"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lastRenderedPageBreak/>
              <w:t>The total amount of committed facilities per reporting reference date subject to be drawn, representing the sum of the (020) drawn and (040) undrawn amount.</w:t>
            </w:r>
          </w:p>
        </w:tc>
      </w:tr>
      <w:tr w:rsidR="00876368" w:rsidRPr="00DA7242" w14:paraId="4B1D60E6"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4CC019D7"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lastRenderedPageBreak/>
              <w:t>020</w:t>
            </w:r>
          </w:p>
        </w:tc>
        <w:tc>
          <w:tcPr>
            <w:tcW w:w="8418" w:type="dxa"/>
            <w:tcBorders>
              <w:top w:val="single" w:sz="4" w:space="0" w:color="auto"/>
              <w:left w:val="single" w:sz="4" w:space="0" w:color="auto"/>
              <w:bottom w:val="single" w:sz="4" w:space="0" w:color="auto"/>
              <w:right w:val="single" w:sz="4" w:space="0" w:color="auto"/>
            </w:tcBorders>
            <w:vAlign w:val="center"/>
          </w:tcPr>
          <w:p w14:paraId="00AC266D"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Drawn amount</w:t>
            </w:r>
          </w:p>
          <w:p w14:paraId="3256E85F" w14:textId="13434B10" w:rsidR="00876368" w:rsidRPr="00DA7242" w:rsidRDefault="00876368">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The amount that has been drawn per reporting reference date.</w:t>
            </w:r>
          </w:p>
        </w:tc>
      </w:tr>
      <w:tr w:rsidR="00876368" w:rsidRPr="00DA7242" w14:paraId="11974926"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411B2FF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030</w:t>
            </w:r>
          </w:p>
        </w:tc>
        <w:tc>
          <w:tcPr>
            <w:tcW w:w="8418" w:type="dxa"/>
            <w:tcBorders>
              <w:top w:val="single" w:sz="4" w:space="0" w:color="auto"/>
              <w:left w:val="single" w:sz="4" w:space="0" w:color="auto"/>
              <w:bottom w:val="single" w:sz="4" w:space="0" w:color="auto"/>
              <w:right w:val="single" w:sz="4" w:space="0" w:color="auto"/>
            </w:tcBorders>
            <w:vAlign w:val="center"/>
          </w:tcPr>
          <w:p w14:paraId="4B0C23D2" w14:textId="77777777" w:rsidR="00876368" w:rsidRPr="00DA7242" w:rsidRDefault="00876368" w:rsidP="0035689D">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Drawn amount from new or restructured committed facilities</w:t>
            </w:r>
          </w:p>
          <w:p w14:paraId="2BC70A41" w14:textId="77777777"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amount that has been drawn per reporting reference date for Committed facilities</w:t>
            </w:r>
            <w:r w:rsidRPr="00DA7242">
              <w:rPr>
                <w:rFonts w:ascii="Arial" w:eastAsia="Times New Roman" w:hAnsi="Arial" w:cs="Arial"/>
                <w:b/>
                <w:sz w:val="20"/>
                <w:szCs w:val="20"/>
              </w:rPr>
              <w:t>,</w:t>
            </w:r>
            <w:r w:rsidRPr="00DA7242">
              <w:rPr>
                <w:rFonts w:ascii="Arial" w:eastAsia="Times New Roman" w:hAnsi="Arial" w:cs="Arial"/>
                <w:sz w:val="20"/>
                <w:szCs w:val="20"/>
              </w:rPr>
              <w:t xml:space="preserve"> that have been </w:t>
            </w:r>
            <w:proofErr w:type="gramStart"/>
            <w:r w:rsidRPr="00DA7242">
              <w:rPr>
                <w:rFonts w:ascii="Arial" w:eastAsia="Times New Roman" w:hAnsi="Arial" w:cs="Arial"/>
                <w:sz w:val="20"/>
                <w:szCs w:val="20"/>
              </w:rPr>
              <w:t>either new or restructured between the last reporting reference date and</w:t>
            </w:r>
            <w:proofErr w:type="gramEnd"/>
            <w:r w:rsidRPr="00DA7242">
              <w:rPr>
                <w:rFonts w:ascii="Arial" w:eastAsia="Times New Roman" w:hAnsi="Arial" w:cs="Arial"/>
                <w:sz w:val="20"/>
                <w:szCs w:val="20"/>
              </w:rPr>
              <w:t xml:space="preserve"> the current reporting reference date. </w:t>
            </w:r>
          </w:p>
          <w:p w14:paraId="6C49FD05" w14:textId="2AA4ECB4"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For the first reporting reference date being 31 May 2020 the “last reporting date” is defined as 30 April 2020.</w:t>
            </w:r>
          </w:p>
          <w:p w14:paraId="46B06CC8" w14:textId="17A3651B"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hAnsi="Arial" w:cs="Arial"/>
                <w:sz w:val="20"/>
                <w:szCs w:val="20"/>
              </w:rPr>
              <w:t>For each following reporting reference date, the “last reporting reference date” is defined as the month-end date of the preceding month (for instance for the reference date 30.06.2020 the “last reporting reference date” is 31.05.2020 and the “current reporting reference date is 30.06.2020).</w:t>
            </w:r>
          </w:p>
          <w:p w14:paraId="1DF3FF1C" w14:textId="77823C47"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This category should include both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 xml:space="preserve">to new borrowers as well as </w:t>
            </w:r>
            <w:r w:rsidR="00BB543D" w:rsidRPr="00DA7242">
              <w:rPr>
                <w:rFonts w:ascii="Arial" w:eastAsia="Times New Roman" w:hAnsi="Arial" w:cs="Arial"/>
                <w:sz w:val="20"/>
                <w:szCs w:val="20"/>
              </w:rPr>
              <w:t xml:space="preserve">new or </w:t>
            </w:r>
            <w:r w:rsidRPr="00DA7242">
              <w:rPr>
                <w:rFonts w:ascii="Arial" w:eastAsia="Times New Roman" w:hAnsi="Arial" w:cs="Arial"/>
                <w:sz w:val="20"/>
                <w:szCs w:val="20"/>
              </w:rPr>
              <w:t xml:space="preserve">restructured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to existing borrowers that qualify as new lending.</w:t>
            </w:r>
          </w:p>
          <w:p w14:paraId="0DE126B9" w14:textId="5A4F57B8"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hAnsi="Arial" w:cs="Arial"/>
                <w:sz w:val="20"/>
                <w:szCs w:val="20"/>
              </w:rPr>
              <w:t xml:space="preserve">Restructured committed facilities to existing borrowers that qualify as new lending are defined as </w:t>
            </w:r>
            <w:proofErr w:type="spellStart"/>
            <w:r w:rsidRPr="00DA7242">
              <w:rPr>
                <w:rFonts w:ascii="Arial" w:hAnsi="Arial" w:cs="Arial"/>
                <w:sz w:val="20"/>
                <w:szCs w:val="20"/>
              </w:rPr>
              <w:t>refinancings</w:t>
            </w:r>
            <w:proofErr w:type="spellEnd"/>
            <w:r w:rsidRPr="00DA7242">
              <w:rPr>
                <w:rFonts w:ascii="Arial" w:hAnsi="Arial" w:cs="Arial"/>
                <w:sz w:val="20"/>
                <w:szCs w:val="20"/>
              </w:rPr>
              <w:t xml:space="preserve"> of previous debt with a new loan or </w:t>
            </w:r>
            <w:r w:rsidR="00DA7242">
              <w:rPr>
                <w:rFonts w:ascii="Arial" w:hAnsi="Arial" w:cs="Arial"/>
                <w:sz w:val="20"/>
                <w:szCs w:val="20"/>
              </w:rPr>
              <w:t xml:space="preserve">a </w:t>
            </w:r>
            <w:r w:rsidRPr="00DA7242">
              <w:rPr>
                <w:rFonts w:ascii="Arial" w:hAnsi="Arial" w:cs="Arial"/>
                <w:sz w:val="20"/>
                <w:szCs w:val="20"/>
              </w:rPr>
              <w:t>repackaging of several debts into a new loan and should be reported in this column.</w:t>
            </w:r>
          </w:p>
        </w:tc>
      </w:tr>
      <w:tr w:rsidR="00876368" w:rsidRPr="00DA7242" w14:paraId="056E718E"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3DDE449"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040</w:t>
            </w:r>
          </w:p>
        </w:tc>
        <w:tc>
          <w:tcPr>
            <w:tcW w:w="8418" w:type="dxa"/>
            <w:tcBorders>
              <w:top w:val="single" w:sz="4" w:space="0" w:color="auto"/>
              <w:left w:val="single" w:sz="4" w:space="0" w:color="auto"/>
              <w:bottom w:val="single" w:sz="4" w:space="0" w:color="auto"/>
              <w:right w:val="single" w:sz="4" w:space="0" w:color="auto"/>
            </w:tcBorders>
            <w:vAlign w:val="center"/>
          </w:tcPr>
          <w:p w14:paraId="228BA82D" w14:textId="77777777" w:rsidR="00876368" w:rsidRPr="00DA7242" w:rsidRDefault="00876368" w:rsidP="0035689D">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Undrawn amount</w:t>
            </w:r>
          </w:p>
          <w:p w14:paraId="790D11BD" w14:textId="4AA93D6E"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available maximum amount that can be drawn per reference date.</w:t>
            </w:r>
          </w:p>
        </w:tc>
      </w:tr>
      <w:tr w:rsidR="00876368" w:rsidRPr="00DA7242" w14:paraId="68058940"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9070BA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050</w:t>
            </w:r>
          </w:p>
        </w:tc>
        <w:tc>
          <w:tcPr>
            <w:tcW w:w="8418" w:type="dxa"/>
            <w:tcBorders>
              <w:top w:val="single" w:sz="4" w:space="0" w:color="auto"/>
              <w:left w:val="single" w:sz="4" w:space="0" w:color="auto"/>
              <w:bottom w:val="single" w:sz="4" w:space="0" w:color="auto"/>
              <w:right w:val="single" w:sz="4" w:space="0" w:color="auto"/>
            </w:tcBorders>
            <w:vAlign w:val="center"/>
          </w:tcPr>
          <w:p w14:paraId="1E571947" w14:textId="77777777" w:rsidR="00876368" w:rsidRPr="00DA7242" w:rsidRDefault="00876368" w:rsidP="0035689D">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Undrawn amount from new or restructured committed facilities</w:t>
            </w:r>
          </w:p>
          <w:p w14:paraId="2B50DC9E" w14:textId="4A589D91" w:rsidR="00BB543D"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available maximum amount that can be drawn per reference date for Committed facilities</w:t>
            </w:r>
            <w:r w:rsidRPr="00DA7242">
              <w:rPr>
                <w:rFonts w:ascii="Arial" w:eastAsia="Times New Roman" w:hAnsi="Arial" w:cs="Arial"/>
                <w:b/>
                <w:sz w:val="20"/>
                <w:szCs w:val="20"/>
              </w:rPr>
              <w:t>,</w:t>
            </w:r>
            <w:r w:rsidRPr="00DA7242">
              <w:rPr>
                <w:rFonts w:ascii="Arial" w:eastAsia="Times New Roman" w:hAnsi="Arial" w:cs="Arial"/>
                <w:sz w:val="20"/>
                <w:szCs w:val="20"/>
              </w:rPr>
              <w:t xml:space="preserve"> that have been </w:t>
            </w:r>
            <w:proofErr w:type="gramStart"/>
            <w:r w:rsidRPr="00DA7242">
              <w:rPr>
                <w:rFonts w:ascii="Arial" w:eastAsia="Times New Roman" w:hAnsi="Arial" w:cs="Arial"/>
                <w:sz w:val="20"/>
                <w:szCs w:val="20"/>
              </w:rPr>
              <w:t>either new or restructured between the last reporting reference date and</w:t>
            </w:r>
            <w:proofErr w:type="gramEnd"/>
            <w:r w:rsidRPr="00DA7242">
              <w:rPr>
                <w:rFonts w:ascii="Arial" w:eastAsia="Times New Roman" w:hAnsi="Arial" w:cs="Arial"/>
                <w:sz w:val="20"/>
                <w:szCs w:val="20"/>
              </w:rPr>
              <w:t xml:space="preserve"> the current reporting reference date. </w:t>
            </w:r>
          </w:p>
          <w:p w14:paraId="582C740F" w14:textId="77777777"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For the first reporting reference date being 31 May 2020 the “last reporting date” is defined as 30 April 2020. </w:t>
            </w:r>
          </w:p>
          <w:p w14:paraId="0FB59481" w14:textId="59A67D00"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For each following reporting reference date, the “last reporting reference date” is defined as the month-end date of the preceding month (for instance for the reference date 30.06.2020 the “last reporting reference date” is 31.05.2020 and the “current reporting reference date is 30.06.2020).</w:t>
            </w:r>
          </w:p>
          <w:p w14:paraId="46928C8D" w14:textId="6A848774"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This category should include both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 xml:space="preserve">to new borrowers as well as </w:t>
            </w:r>
            <w:r w:rsidR="00BB543D" w:rsidRPr="00DA7242">
              <w:rPr>
                <w:rFonts w:ascii="Arial" w:eastAsia="Times New Roman" w:hAnsi="Arial" w:cs="Arial"/>
                <w:sz w:val="20"/>
                <w:szCs w:val="20"/>
              </w:rPr>
              <w:t xml:space="preserve">new or </w:t>
            </w:r>
            <w:r w:rsidRPr="00DA7242">
              <w:rPr>
                <w:rFonts w:ascii="Arial" w:eastAsia="Times New Roman" w:hAnsi="Arial" w:cs="Arial"/>
                <w:sz w:val="20"/>
                <w:szCs w:val="20"/>
              </w:rPr>
              <w:t xml:space="preserve">restructured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to existing borrowers that qualify as new lending.</w:t>
            </w:r>
          </w:p>
          <w:p w14:paraId="3521AD63" w14:textId="27521E35" w:rsidR="00BB543D" w:rsidRPr="00DA7242" w:rsidRDefault="00DA7242" w:rsidP="0035689D">
            <w:pPr>
              <w:spacing w:before="120" w:after="120" w:line="240" w:lineRule="auto"/>
              <w:jc w:val="both"/>
              <w:rPr>
                <w:rFonts w:ascii="Arial" w:eastAsia="Times New Roman" w:hAnsi="Arial" w:cs="Arial"/>
                <w:b/>
                <w:sz w:val="20"/>
                <w:szCs w:val="20"/>
              </w:rPr>
            </w:pPr>
            <w:r w:rsidRPr="00032529">
              <w:rPr>
                <w:rFonts w:ascii="Arial" w:hAnsi="Arial" w:cs="Arial"/>
                <w:sz w:val="20"/>
                <w:szCs w:val="20"/>
              </w:rPr>
              <w:t xml:space="preserve">Restructured committed facilities to existing borrowers that qualify as new lending are defined as </w:t>
            </w:r>
            <w:proofErr w:type="spellStart"/>
            <w:r w:rsidRPr="00032529">
              <w:rPr>
                <w:rFonts w:ascii="Arial" w:hAnsi="Arial" w:cs="Arial"/>
                <w:sz w:val="20"/>
                <w:szCs w:val="20"/>
              </w:rPr>
              <w:t>refinancings</w:t>
            </w:r>
            <w:proofErr w:type="spellEnd"/>
            <w:r w:rsidRPr="00032529">
              <w:rPr>
                <w:rFonts w:ascii="Arial" w:hAnsi="Arial" w:cs="Arial"/>
                <w:sz w:val="20"/>
                <w:szCs w:val="20"/>
              </w:rPr>
              <w:t xml:space="preserve"> of previous debt with a new loan or </w:t>
            </w:r>
            <w:r>
              <w:rPr>
                <w:rFonts w:ascii="Arial" w:hAnsi="Arial" w:cs="Arial"/>
                <w:sz w:val="20"/>
                <w:szCs w:val="20"/>
              </w:rPr>
              <w:t xml:space="preserve">a </w:t>
            </w:r>
            <w:r w:rsidRPr="00032529">
              <w:rPr>
                <w:rFonts w:ascii="Arial" w:hAnsi="Arial" w:cs="Arial"/>
                <w:sz w:val="20"/>
                <w:szCs w:val="20"/>
              </w:rPr>
              <w:t>repackaging of several debts into a new loan and should be reported in this column.</w:t>
            </w:r>
          </w:p>
        </w:tc>
      </w:tr>
    </w:tbl>
    <w:p w14:paraId="376F57BC" w14:textId="77777777" w:rsidR="00876368" w:rsidRPr="00DA7242" w:rsidRDefault="00876368" w:rsidP="00876368">
      <w:pPr>
        <w:pStyle w:val="NoSpacing"/>
        <w:rPr>
          <w:rFonts w:cs="Arial"/>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876368" w:rsidRPr="00DA7242" w14:paraId="3F68ED18"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458587F6" w14:textId="77777777"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2EBDB8D7" w14:textId="77777777"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876368" w:rsidRPr="00DA7242" w14:paraId="7292FBDA"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375C752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010</w:t>
            </w:r>
          </w:p>
        </w:tc>
        <w:tc>
          <w:tcPr>
            <w:tcW w:w="8418" w:type="dxa"/>
            <w:tcBorders>
              <w:top w:val="single" w:sz="4" w:space="0" w:color="auto"/>
              <w:left w:val="single" w:sz="4" w:space="0" w:color="auto"/>
              <w:bottom w:val="single" w:sz="4" w:space="0" w:color="auto"/>
              <w:right w:val="single" w:sz="4" w:space="0" w:color="auto"/>
            </w:tcBorders>
            <w:vAlign w:val="center"/>
          </w:tcPr>
          <w:p w14:paraId="71074549"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Committed credit facilities to retail customers </w:t>
            </w:r>
          </w:p>
          <w:p w14:paraId="3EFA05D8" w14:textId="145D9F1D"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480,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18BF00EB" w14:textId="1C97CEC1" w:rsidR="00876368" w:rsidRPr="00DA7242" w:rsidRDefault="00876368" w:rsidP="00C26EFE">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 xml:space="preserve">report on committed credit facilities as defined in Article 31(1) of Commission Delegated Regulation (EU) 2015/61 to retail customers as defined in </w:t>
            </w:r>
            <w:r w:rsidR="00146D3B" w:rsidRPr="00DA7242">
              <w:rPr>
                <w:rFonts w:ascii="Arial" w:eastAsia="Times New Roman" w:hAnsi="Arial" w:cs="Arial"/>
                <w:sz w:val="20"/>
                <w:szCs w:val="20"/>
              </w:rPr>
              <w:t>Article 411 (2) of Regulation (EU) 575/2013.</w:t>
            </w:r>
          </w:p>
        </w:tc>
      </w:tr>
      <w:tr w:rsidR="00876368" w:rsidRPr="00DA7242" w14:paraId="424E5FDD"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0BD4DB27"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020</w:t>
            </w:r>
          </w:p>
        </w:tc>
        <w:tc>
          <w:tcPr>
            <w:tcW w:w="8418" w:type="dxa"/>
            <w:tcBorders>
              <w:top w:val="single" w:sz="4" w:space="0" w:color="auto"/>
              <w:left w:val="single" w:sz="4" w:space="0" w:color="auto"/>
              <w:bottom w:val="single" w:sz="4" w:space="0" w:color="auto"/>
              <w:right w:val="single" w:sz="4" w:space="0" w:color="auto"/>
            </w:tcBorders>
            <w:vAlign w:val="center"/>
          </w:tcPr>
          <w:p w14:paraId="7FE80B81"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Small and Medium-sized Enterprises (SME)</w:t>
            </w:r>
          </w:p>
          <w:p w14:paraId="3548BB83" w14:textId="7CAD872F" w:rsidR="00876368" w:rsidRPr="00DA7242" w:rsidRDefault="00146D3B"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lastRenderedPageBreak/>
              <w:t>Letter (</w:t>
            </w:r>
            <w:proofErr w:type="spellStart"/>
            <w:r w:rsidRPr="00DA7242">
              <w:rPr>
                <w:rFonts w:ascii="Arial" w:eastAsia="Times New Roman" w:hAnsi="Arial" w:cs="Arial"/>
                <w:sz w:val="20"/>
                <w:szCs w:val="20"/>
              </w:rPr>
              <w:t>i</w:t>
            </w:r>
            <w:proofErr w:type="spellEnd"/>
            <w:r w:rsidRPr="00DA7242">
              <w:rPr>
                <w:rFonts w:ascii="Arial" w:eastAsia="Times New Roman" w:hAnsi="Arial" w:cs="Arial"/>
                <w:sz w:val="20"/>
                <w:szCs w:val="20"/>
              </w:rPr>
              <w:t>) of paragraph 5 of Part 1 of Annex V to ITS.</w:t>
            </w:r>
          </w:p>
        </w:tc>
      </w:tr>
      <w:tr w:rsidR="00876368" w:rsidRPr="00DA7242" w14:paraId="7D54D579"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53C081DE"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lastRenderedPageBreak/>
              <w:t>030</w:t>
            </w:r>
          </w:p>
        </w:tc>
        <w:tc>
          <w:tcPr>
            <w:tcW w:w="8418" w:type="dxa"/>
            <w:tcBorders>
              <w:top w:val="single" w:sz="4" w:space="0" w:color="auto"/>
              <w:left w:val="single" w:sz="4" w:space="0" w:color="auto"/>
              <w:bottom w:val="single" w:sz="4" w:space="0" w:color="auto"/>
              <w:right w:val="single" w:sz="4" w:space="0" w:color="auto"/>
            </w:tcBorders>
          </w:tcPr>
          <w:p w14:paraId="1B4300A9"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Collateralised by immovable property</w:t>
            </w:r>
          </w:p>
          <w:p w14:paraId="747D1328" w14:textId="282817C7" w:rsidR="00876368" w:rsidRPr="00DA7242" w:rsidRDefault="00876368" w:rsidP="00146D3B">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Letter (a) of paragraph 86 and paragraph 87 of Part 2 of Annex V to </w:t>
            </w:r>
            <w:r w:rsidR="00146D3B" w:rsidRPr="00DA7242">
              <w:rPr>
                <w:rFonts w:ascii="Arial" w:eastAsia="Times New Roman" w:hAnsi="Arial" w:cs="Arial"/>
                <w:sz w:val="20"/>
                <w:szCs w:val="20"/>
              </w:rPr>
              <w:t>ITS</w:t>
            </w:r>
            <w:r w:rsidRPr="00DA7242">
              <w:rPr>
                <w:rFonts w:ascii="Arial" w:eastAsia="Times New Roman" w:hAnsi="Arial" w:cs="Arial"/>
                <w:sz w:val="20"/>
                <w:szCs w:val="20"/>
              </w:rPr>
              <w:t>.</w:t>
            </w:r>
          </w:p>
        </w:tc>
      </w:tr>
      <w:tr w:rsidR="00876368" w:rsidRPr="00DA7242" w14:paraId="271AFC68"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3A8E6B2F"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040</w:t>
            </w:r>
          </w:p>
        </w:tc>
        <w:tc>
          <w:tcPr>
            <w:tcW w:w="8418" w:type="dxa"/>
            <w:tcBorders>
              <w:top w:val="single" w:sz="4" w:space="0" w:color="auto"/>
              <w:left w:val="single" w:sz="4" w:space="0" w:color="auto"/>
              <w:bottom w:val="single" w:sz="4" w:space="0" w:color="auto"/>
              <w:right w:val="single" w:sz="4" w:space="0" w:color="auto"/>
            </w:tcBorders>
          </w:tcPr>
          <w:p w14:paraId="04B2B708"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Credit for consumption</w:t>
            </w:r>
          </w:p>
          <w:p w14:paraId="57244FEC" w14:textId="511ED0EF" w:rsidR="00876368" w:rsidRPr="00DA7242" w:rsidRDefault="00146D3B" w:rsidP="006A5A14">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Letter (a) of </w:t>
            </w:r>
            <w:r w:rsidR="00876368" w:rsidRPr="00DA7242">
              <w:rPr>
                <w:rFonts w:ascii="Arial" w:eastAsia="Times New Roman" w:hAnsi="Arial" w:cs="Arial"/>
                <w:sz w:val="20"/>
                <w:szCs w:val="20"/>
              </w:rPr>
              <w:t xml:space="preserve">paragraph 88 of Part 2 of Annex V to </w:t>
            </w:r>
            <w:r w:rsidR="006A5A14">
              <w:rPr>
                <w:rFonts w:ascii="Arial" w:eastAsia="Times New Roman" w:hAnsi="Arial" w:cs="Arial"/>
                <w:sz w:val="20"/>
                <w:szCs w:val="20"/>
              </w:rPr>
              <w:t>ITS</w:t>
            </w:r>
            <w:r w:rsidR="00876368" w:rsidRPr="00DA7242">
              <w:rPr>
                <w:rFonts w:ascii="Arial" w:eastAsia="Times New Roman" w:hAnsi="Arial" w:cs="Arial"/>
                <w:sz w:val="20"/>
                <w:szCs w:val="20"/>
              </w:rPr>
              <w:t>.</w:t>
            </w:r>
          </w:p>
        </w:tc>
      </w:tr>
      <w:tr w:rsidR="00876368" w:rsidRPr="00DA7242" w14:paraId="68E4D5EC"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5151FC4B"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050</w:t>
            </w:r>
          </w:p>
        </w:tc>
        <w:tc>
          <w:tcPr>
            <w:tcW w:w="8418" w:type="dxa"/>
            <w:tcBorders>
              <w:top w:val="single" w:sz="4" w:space="0" w:color="auto"/>
              <w:left w:val="single" w:sz="4" w:space="0" w:color="auto"/>
              <w:bottom w:val="single" w:sz="4" w:space="0" w:color="auto"/>
              <w:right w:val="single" w:sz="4" w:space="0" w:color="auto"/>
            </w:tcBorders>
            <w:vAlign w:val="center"/>
          </w:tcPr>
          <w:p w14:paraId="5148B345"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Committed credit facilities to non-financial customers other than retail customers</w:t>
            </w:r>
          </w:p>
          <w:p w14:paraId="6D1238BA" w14:textId="2642333F"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490,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4BB7E54F" w14:textId="2C62D2E1"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 xml:space="preserve">report on committed credit facilities as defined in Article 31(1) of Commission Delegated Regulation (EU) 2015/61 to customers that are neither financial customers in accordance with </w:t>
            </w:r>
            <w:r w:rsidR="00146D3B" w:rsidRPr="00DA7242">
              <w:rPr>
                <w:rFonts w:ascii="Arial" w:eastAsia="Times New Roman" w:hAnsi="Arial" w:cs="Arial"/>
                <w:sz w:val="20"/>
                <w:szCs w:val="20"/>
              </w:rPr>
              <w:t xml:space="preserve">Article 411 (1) of Regulation (EU) 575/2013 </w:t>
            </w:r>
            <w:r w:rsidRPr="00DA7242">
              <w:rPr>
                <w:rFonts w:ascii="Arial" w:eastAsia="Times New Roman" w:hAnsi="Arial" w:cs="Arial"/>
                <w:sz w:val="20"/>
                <w:szCs w:val="20"/>
              </w:rPr>
              <w:t xml:space="preserve">nor retail customers in accordance with </w:t>
            </w:r>
            <w:r w:rsidR="00146D3B" w:rsidRPr="00DA7242">
              <w:rPr>
                <w:rFonts w:ascii="Arial" w:eastAsia="Times New Roman" w:hAnsi="Arial" w:cs="Arial"/>
                <w:sz w:val="20"/>
                <w:szCs w:val="20"/>
              </w:rPr>
              <w:t xml:space="preserve">Article 411 (2) of Regulation (EU) 575/2013 </w:t>
            </w:r>
            <w:r w:rsidRPr="00DA7242">
              <w:rPr>
                <w:rFonts w:ascii="Arial" w:eastAsia="Times New Roman" w:hAnsi="Arial" w:cs="Arial"/>
                <w:sz w:val="20"/>
                <w:szCs w:val="20"/>
              </w:rPr>
              <w:t xml:space="preserve">and which have not been provided for the purpose of replacing funding of the client in situations where the client is unable to obtain funding requirements in the financial markets. </w:t>
            </w:r>
          </w:p>
        </w:tc>
      </w:tr>
      <w:tr w:rsidR="00876368" w:rsidRPr="00DA7242" w14:paraId="3CCC902B"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2DEFB0DA"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060 – 240</w:t>
            </w:r>
          </w:p>
        </w:tc>
        <w:tc>
          <w:tcPr>
            <w:tcW w:w="8418" w:type="dxa"/>
            <w:tcBorders>
              <w:top w:val="single" w:sz="4" w:space="0" w:color="auto"/>
              <w:left w:val="single" w:sz="4" w:space="0" w:color="auto"/>
              <w:bottom w:val="single" w:sz="4" w:space="0" w:color="auto"/>
              <w:right w:val="single" w:sz="4" w:space="0" w:color="auto"/>
            </w:tcBorders>
            <w:vAlign w:val="center"/>
          </w:tcPr>
          <w:p w14:paraId="5F60672C"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Of which: to non-financial customers other than retail customers split by NACE Code. </w:t>
            </w:r>
          </w:p>
          <w:p w14:paraId="1062E3DF" w14:textId="77777777"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NACE codes: codes in Regulation (EC) No 1893/2006 of the European Parliament and of the Council.</w:t>
            </w:r>
          </w:p>
        </w:tc>
      </w:tr>
      <w:tr w:rsidR="00876368" w:rsidRPr="00DA7242" w14:paraId="2823A2DF"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0EC39744"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250</w:t>
            </w:r>
          </w:p>
        </w:tc>
        <w:tc>
          <w:tcPr>
            <w:tcW w:w="8418" w:type="dxa"/>
            <w:tcBorders>
              <w:top w:val="single" w:sz="4" w:space="0" w:color="auto"/>
              <w:left w:val="single" w:sz="4" w:space="0" w:color="auto"/>
              <w:bottom w:val="single" w:sz="4" w:space="0" w:color="auto"/>
              <w:right w:val="single" w:sz="4" w:space="0" w:color="auto"/>
            </w:tcBorders>
            <w:vAlign w:val="center"/>
          </w:tcPr>
          <w:p w14:paraId="008ED6C9"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Small and Medium-sized Enterprises (SME)</w:t>
            </w:r>
          </w:p>
          <w:p w14:paraId="6303E98D" w14:textId="73C522C2" w:rsidR="00876368" w:rsidRPr="00DA7242" w:rsidRDefault="00146D3B"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Letter (</w:t>
            </w:r>
            <w:proofErr w:type="spellStart"/>
            <w:r w:rsidRPr="00DA7242">
              <w:rPr>
                <w:rFonts w:ascii="Arial" w:eastAsia="Times New Roman" w:hAnsi="Arial" w:cs="Arial"/>
                <w:sz w:val="20"/>
                <w:szCs w:val="20"/>
              </w:rPr>
              <w:t>i</w:t>
            </w:r>
            <w:proofErr w:type="spellEnd"/>
            <w:r w:rsidRPr="00DA7242">
              <w:rPr>
                <w:rFonts w:ascii="Arial" w:eastAsia="Times New Roman" w:hAnsi="Arial" w:cs="Arial"/>
                <w:sz w:val="20"/>
                <w:szCs w:val="20"/>
              </w:rPr>
              <w:t>) of paragraph 5 of Part 1 of Annex V to ITS.</w:t>
            </w:r>
          </w:p>
        </w:tc>
      </w:tr>
      <w:tr w:rsidR="00876368" w:rsidRPr="00DA7242" w14:paraId="12B8A9FF"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A2C0BAA"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260</w:t>
            </w:r>
          </w:p>
        </w:tc>
        <w:tc>
          <w:tcPr>
            <w:tcW w:w="8418" w:type="dxa"/>
            <w:tcBorders>
              <w:top w:val="single" w:sz="4" w:space="0" w:color="auto"/>
              <w:left w:val="single" w:sz="4" w:space="0" w:color="auto"/>
              <w:bottom w:val="single" w:sz="4" w:space="0" w:color="auto"/>
              <w:right w:val="single" w:sz="4" w:space="0" w:color="auto"/>
            </w:tcBorders>
            <w:vAlign w:val="center"/>
          </w:tcPr>
          <w:p w14:paraId="06C883FA"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Committed credit facilities to credit institutions</w:t>
            </w:r>
          </w:p>
          <w:p w14:paraId="557BD42D" w14:textId="6CD36CFA"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500,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0A87B1B2" w14:textId="13FFDF01" w:rsidR="00876368" w:rsidRPr="00DA7242" w:rsidRDefault="00876368" w:rsidP="00C26EFE">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shall</w:t>
            </w:r>
            <w:r w:rsidRPr="00DA7242">
              <w:rPr>
                <w:rFonts w:ascii="Arial" w:eastAsia="Times New Roman" w:hAnsi="Arial" w:cs="Arial"/>
                <w:sz w:val="20"/>
                <w:szCs w:val="20"/>
              </w:rPr>
              <w:t xml:space="preserve"> report on committed credit facilities as defined in Article 31(1) of Commission Delegated Regulation (EU) 2015/61 provided to credit institutions.</w:t>
            </w:r>
          </w:p>
        </w:tc>
      </w:tr>
      <w:tr w:rsidR="00876368" w:rsidRPr="00DA7242" w14:paraId="432BB543"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515E552E"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270</w:t>
            </w:r>
          </w:p>
        </w:tc>
        <w:tc>
          <w:tcPr>
            <w:tcW w:w="8418" w:type="dxa"/>
            <w:tcBorders>
              <w:top w:val="single" w:sz="4" w:space="0" w:color="auto"/>
              <w:left w:val="single" w:sz="4" w:space="0" w:color="auto"/>
              <w:bottom w:val="single" w:sz="4" w:space="0" w:color="auto"/>
              <w:right w:val="single" w:sz="4" w:space="0" w:color="auto"/>
            </w:tcBorders>
            <w:vAlign w:val="center"/>
          </w:tcPr>
          <w:p w14:paraId="2AF6B2BC"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Committed credit facilities to regulated institutions other than credit institutions</w:t>
            </w:r>
          </w:p>
          <w:p w14:paraId="553394C9" w14:textId="5A1AD592"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540,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36DFCF97" w14:textId="6E862021" w:rsidR="00876368" w:rsidRPr="00DA7242" w:rsidRDefault="00876368" w:rsidP="00C26EFE">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report on committed credit facilities as defined in Article 31(1) of Commission Delegated Regulation (EU) 2015/61 provided to regulated financial institutions other than credit institutions.</w:t>
            </w:r>
          </w:p>
        </w:tc>
      </w:tr>
      <w:tr w:rsidR="00876368" w:rsidRPr="00DA7242" w14:paraId="4E3BB420"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ED5AA45"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280</w:t>
            </w:r>
          </w:p>
        </w:tc>
        <w:tc>
          <w:tcPr>
            <w:tcW w:w="8418" w:type="dxa"/>
            <w:tcBorders>
              <w:top w:val="single" w:sz="4" w:space="0" w:color="auto"/>
              <w:left w:val="single" w:sz="4" w:space="0" w:color="auto"/>
              <w:bottom w:val="single" w:sz="4" w:space="0" w:color="auto"/>
              <w:right w:val="single" w:sz="4" w:space="0" w:color="auto"/>
            </w:tcBorders>
            <w:vAlign w:val="center"/>
          </w:tcPr>
          <w:p w14:paraId="65F21E96"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Committed credit facilities to other financial customers </w:t>
            </w:r>
          </w:p>
          <w:p w14:paraId="148C54B5" w14:textId="2A8B806F"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570,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669A7307" w14:textId="77777777" w:rsidR="00876368" w:rsidRPr="00DA7242" w:rsidRDefault="00876368" w:rsidP="000B42A0">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0B42A0" w:rsidRPr="00DA7242">
              <w:rPr>
                <w:rFonts w:ascii="Arial" w:eastAsia="Times New Roman" w:hAnsi="Arial" w:cs="Arial"/>
                <w:sz w:val="20"/>
                <w:szCs w:val="20"/>
              </w:rPr>
              <w:t>are expected to</w:t>
            </w:r>
            <w:r w:rsidRPr="00DA7242">
              <w:rPr>
                <w:rFonts w:ascii="Arial" w:eastAsia="Times New Roman" w:hAnsi="Arial" w:cs="Arial"/>
                <w:sz w:val="20"/>
                <w:szCs w:val="20"/>
              </w:rPr>
              <w:t xml:space="preserve"> report here on committed credit facilities as defined in Article 31(1) of Commission Delegated Regulation (EU) 2015/61 other than those reported [in the template rows] above to other financial customers.</w:t>
            </w:r>
          </w:p>
        </w:tc>
      </w:tr>
      <w:tr w:rsidR="00876368" w:rsidRPr="00DA7242" w14:paraId="4C7EF64F"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637A0EA2"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290</w:t>
            </w:r>
          </w:p>
        </w:tc>
        <w:tc>
          <w:tcPr>
            <w:tcW w:w="8418" w:type="dxa"/>
            <w:tcBorders>
              <w:top w:val="single" w:sz="4" w:space="0" w:color="auto"/>
              <w:left w:val="single" w:sz="4" w:space="0" w:color="auto"/>
              <w:bottom w:val="single" w:sz="4" w:space="0" w:color="auto"/>
              <w:right w:val="single" w:sz="4" w:space="0" w:color="auto"/>
            </w:tcBorders>
            <w:vAlign w:val="center"/>
          </w:tcPr>
          <w:p w14:paraId="5C9042FA"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Committed liquidity facilities to non-financial customers other than retail customers </w:t>
            </w:r>
          </w:p>
          <w:p w14:paraId="256660C4" w14:textId="44CAF21F"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Instruction concerning specific row 600,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639B00EA" w14:textId="5D7D33A6" w:rsidR="00876368" w:rsidRPr="00DA7242" w:rsidRDefault="00876368" w:rsidP="00C26EFE">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 xml:space="preserve">report on committed liquidity facilities as defined in Article 31(1) of Commission Delegated Regulation (EU) 2015/61 to customers that are neither financial customers in accordance with </w:t>
            </w:r>
            <w:r w:rsidR="00146D3B" w:rsidRPr="00DA7242">
              <w:rPr>
                <w:rFonts w:ascii="Arial" w:eastAsia="Times New Roman" w:hAnsi="Arial" w:cs="Arial"/>
                <w:sz w:val="20"/>
                <w:szCs w:val="20"/>
              </w:rPr>
              <w:t xml:space="preserve">Article 411 (1) of Regulation (EU) 575/2013 </w:t>
            </w:r>
            <w:r w:rsidRPr="00DA7242">
              <w:rPr>
                <w:rFonts w:ascii="Arial" w:eastAsia="Times New Roman" w:hAnsi="Arial" w:cs="Arial"/>
                <w:sz w:val="20"/>
                <w:szCs w:val="20"/>
              </w:rPr>
              <w:t xml:space="preserve">nor retail customers in accordance with </w:t>
            </w:r>
            <w:r w:rsidR="00146D3B" w:rsidRPr="00DA7242">
              <w:rPr>
                <w:rFonts w:ascii="Arial" w:eastAsia="Times New Roman" w:hAnsi="Arial" w:cs="Arial"/>
                <w:sz w:val="20"/>
                <w:szCs w:val="20"/>
              </w:rPr>
              <w:t>Article 411 (2) of Regulation (EU) 575/2013.</w:t>
            </w:r>
          </w:p>
        </w:tc>
      </w:tr>
      <w:tr w:rsidR="00876368" w:rsidRPr="00DA7242" w14:paraId="2F7288F6"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3DBC24B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300</w:t>
            </w:r>
          </w:p>
        </w:tc>
        <w:tc>
          <w:tcPr>
            <w:tcW w:w="8418" w:type="dxa"/>
            <w:tcBorders>
              <w:top w:val="single" w:sz="4" w:space="0" w:color="auto"/>
              <w:left w:val="single" w:sz="4" w:space="0" w:color="auto"/>
              <w:bottom w:val="single" w:sz="4" w:space="0" w:color="auto"/>
              <w:right w:val="single" w:sz="4" w:space="0" w:color="auto"/>
            </w:tcBorders>
            <w:vAlign w:val="center"/>
          </w:tcPr>
          <w:p w14:paraId="75D96F85" w14:textId="767081ED" w:rsidR="00876368" w:rsidRPr="00DA7242" w:rsidRDefault="00C26EFE"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Uncommitted funding facilities</w:t>
            </w:r>
          </w:p>
          <w:p w14:paraId="319848DD" w14:textId="7B4FFF3D"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Instruction concerning specific row 73</w:t>
            </w:r>
            <w:r w:rsidR="00C26EFE" w:rsidRPr="00DA7242">
              <w:rPr>
                <w:rFonts w:ascii="Arial" w:eastAsia="Times New Roman" w:hAnsi="Arial" w:cs="Arial"/>
                <w:sz w:val="20"/>
                <w:szCs w:val="20"/>
              </w:rPr>
              <w:t>1</w:t>
            </w:r>
            <w:r w:rsidRPr="00DA7242">
              <w:rPr>
                <w:rFonts w:ascii="Arial" w:eastAsia="Times New Roman" w:hAnsi="Arial" w:cs="Arial"/>
                <w:sz w:val="20"/>
                <w:szCs w:val="20"/>
              </w:rPr>
              <w:t xml:space="preserve">,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3A301064" w14:textId="77777777" w:rsidR="00C26EFE" w:rsidRPr="00DA7242" w:rsidRDefault="00876368" w:rsidP="00C26EFE">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report on uncommitted funding facilities referred to in Article 23(1) of </w:t>
            </w:r>
            <w:r w:rsidR="00C26EFE" w:rsidRPr="00DA7242">
              <w:rPr>
                <w:rFonts w:ascii="Arial" w:eastAsia="Times New Roman" w:hAnsi="Arial" w:cs="Arial"/>
                <w:sz w:val="20"/>
                <w:szCs w:val="20"/>
              </w:rPr>
              <w:lastRenderedPageBreak/>
              <w:t>Delegated Regulation (EU) 2015/61.</w:t>
            </w:r>
          </w:p>
          <w:p w14:paraId="60F19874" w14:textId="5A7F4FC3" w:rsidR="00876368" w:rsidRPr="00DA7242" w:rsidRDefault="00C26EFE" w:rsidP="00C26EFE">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Guarantees shall not be reported in this row</w:t>
            </w:r>
            <w:r w:rsidR="00DA7242">
              <w:rPr>
                <w:rFonts w:ascii="Arial" w:eastAsia="Times New Roman" w:hAnsi="Arial" w:cs="Arial"/>
                <w:sz w:val="20"/>
                <w:szCs w:val="20"/>
              </w:rPr>
              <w:t>.</w:t>
            </w:r>
          </w:p>
        </w:tc>
      </w:tr>
    </w:tbl>
    <w:p w14:paraId="57FD11A5" w14:textId="77777777" w:rsidR="00876368" w:rsidRPr="00DA7242" w:rsidRDefault="00876368" w:rsidP="001246A8">
      <w:pPr>
        <w:rPr>
          <w:rFonts w:ascii="Arial" w:hAnsi="Arial" w:cs="Arial"/>
          <w:b/>
          <w:sz w:val="20"/>
          <w:szCs w:val="20"/>
        </w:rPr>
      </w:pPr>
    </w:p>
    <w:p w14:paraId="229ABD56" w14:textId="77777777" w:rsidR="00CE6172" w:rsidRPr="00DA7242" w:rsidRDefault="00ED2467" w:rsidP="00A603D5">
      <w:pPr>
        <w:jc w:val="center"/>
        <w:rPr>
          <w:rFonts w:ascii="Arial" w:hAnsi="Arial" w:cs="Arial"/>
          <w:b/>
          <w:sz w:val="20"/>
          <w:szCs w:val="20"/>
        </w:rPr>
      </w:pPr>
      <w:r w:rsidRPr="00DA7242">
        <w:rPr>
          <w:rFonts w:ascii="Arial" w:hAnsi="Arial" w:cs="Arial"/>
          <w:b/>
          <w:sz w:val="20"/>
          <w:szCs w:val="20"/>
        </w:rPr>
        <w:t>PART IV:</w:t>
      </w:r>
      <w:r w:rsidR="00A603D5" w:rsidRPr="00DA7242">
        <w:rPr>
          <w:rFonts w:ascii="Arial" w:hAnsi="Arial" w:cs="Arial"/>
          <w:b/>
          <w:sz w:val="20"/>
          <w:szCs w:val="20"/>
        </w:rPr>
        <w:t xml:space="preserve">  </w:t>
      </w:r>
      <w:r w:rsidR="00CE6172" w:rsidRPr="00DA7242">
        <w:rPr>
          <w:rFonts w:ascii="Arial" w:hAnsi="Arial" w:cs="Arial"/>
          <w:b/>
          <w:sz w:val="20"/>
          <w:szCs w:val="20"/>
        </w:rPr>
        <w:t>Market risk</w:t>
      </w:r>
    </w:p>
    <w:p w14:paraId="255E5047"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Structure of the Market Risk Templates</w:t>
      </w:r>
    </w:p>
    <w:p w14:paraId="2E3A8AF0" w14:textId="36324110" w:rsidR="005F106D" w:rsidRPr="00DA7242" w:rsidRDefault="005F106D" w:rsidP="00003A10">
      <w:pPr>
        <w:spacing w:line="240" w:lineRule="auto"/>
        <w:jc w:val="both"/>
        <w:rPr>
          <w:rFonts w:ascii="Arial" w:hAnsi="Arial" w:cs="Arial"/>
          <w:sz w:val="20"/>
          <w:szCs w:val="20"/>
        </w:rPr>
      </w:pPr>
      <w:r w:rsidRPr="00DA7242">
        <w:rPr>
          <w:rFonts w:ascii="Arial" w:hAnsi="Arial" w:cs="Arial"/>
          <w:sz w:val="20"/>
          <w:szCs w:val="20"/>
        </w:rPr>
        <w:t xml:space="preserve">The </w:t>
      </w:r>
      <w:r w:rsidR="00033F80" w:rsidRPr="00DA7242">
        <w:rPr>
          <w:rFonts w:ascii="Arial" w:hAnsi="Arial" w:cs="Arial"/>
          <w:sz w:val="20"/>
          <w:szCs w:val="20"/>
        </w:rPr>
        <w:t xml:space="preserve">Market Risk </w:t>
      </w:r>
      <w:r w:rsidRPr="00DA7242">
        <w:rPr>
          <w:rFonts w:ascii="Arial" w:hAnsi="Arial" w:cs="Arial"/>
          <w:sz w:val="20"/>
          <w:szCs w:val="20"/>
        </w:rPr>
        <w:t xml:space="preserve">reporting </w:t>
      </w:r>
      <w:r w:rsidR="00751844" w:rsidRPr="00DA7242">
        <w:rPr>
          <w:rFonts w:ascii="Arial" w:hAnsi="Arial" w:cs="Arial"/>
          <w:sz w:val="20"/>
          <w:szCs w:val="20"/>
        </w:rPr>
        <w:t>consists</w:t>
      </w:r>
      <w:r w:rsidRPr="00DA7242">
        <w:rPr>
          <w:rFonts w:ascii="Arial" w:hAnsi="Arial" w:cs="Arial"/>
          <w:sz w:val="20"/>
          <w:szCs w:val="20"/>
        </w:rPr>
        <w:t xml:space="preserve"> of one template. It is designed to focus on the 3 areas that are assumed to be the most impacted by the current market turmoil: </w:t>
      </w:r>
      <w:r w:rsidR="00033F80" w:rsidRPr="00DA7242">
        <w:rPr>
          <w:rFonts w:ascii="Arial" w:hAnsi="Arial" w:cs="Arial"/>
          <w:sz w:val="20"/>
          <w:szCs w:val="20"/>
        </w:rPr>
        <w:t xml:space="preserve">(A) </w:t>
      </w:r>
      <w:r w:rsidRPr="00DA7242">
        <w:rPr>
          <w:rFonts w:ascii="Arial" w:hAnsi="Arial" w:cs="Arial"/>
          <w:sz w:val="20"/>
          <w:szCs w:val="20"/>
        </w:rPr>
        <w:t xml:space="preserve">Market Risk, </w:t>
      </w:r>
      <w:r w:rsidR="00033F80" w:rsidRPr="00DA7242">
        <w:rPr>
          <w:rFonts w:ascii="Arial" w:hAnsi="Arial" w:cs="Arial"/>
          <w:sz w:val="20"/>
          <w:szCs w:val="20"/>
        </w:rPr>
        <w:t xml:space="preserve">(B) </w:t>
      </w:r>
      <w:r w:rsidR="00127BC6" w:rsidRPr="00DA7242">
        <w:rPr>
          <w:rFonts w:ascii="Arial" w:hAnsi="Arial" w:cs="Arial"/>
          <w:sz w:val="20"/>
          <w:szCs w:val="20"/>
        </w:rPr>
        <w:t xml:space="preserve">Trading Revenue and re-pricing risk, </w:t>
      </w:r>
      <w:r w:rsidRPr="00DA7242">
        <w:rPr>
          <w:rFonts w:ascii="Arial" w:hAnsi="Arial" w:cs="Arial"/>
          <w:sz w:val="20"/>
          <w:szCs w:val="20"/>
        </w:rPr>
        <w:t xml:space="preserve">and </w:t>
      </w:r>
      <w:r w:rsidR="00033F80" w:rsidRPr="00DA7242">
        <w:rPr>
          <w:rFonts w:ascii="Arial" w:hAnsi="Arial" w:cs="Arial"/>
          <w:sz w:val="20"/>
          <w:szCs w:val="20"/>
        </w:rPr>
        <w:t xml:space="preserve">(C) </w:t>
      </w:r>
      <w:r w:rsidR="00003A10" w:rsidRPr="00DA7242">
        <w:rPr>
          <w:rFonts w:ascii="Arial" w:hAnsi="Arial" w:cs="Arial"/>
          <w:sz w:val="20"/>
          <w:szCs w:val="20"/>
        </w:rPr>
        <w:t xml:space="preserve">Counterparty </w:t>
      </w:r>
      <w:r w:rsidRPr="00DA7242">
        <w:rPr>
          <w:rFonts w:ascii="Arial" w:hAnsi="Arial" w:cs="Arial"/>
          <w:sz w:val="20"/>
          <w:szCs w:val="20"/>
        </w:rPr>
        <w:t>Credit Risk.</w:t>
      </w:r>
      <w:r w:rsidR="00033F80" w:rsidRPr="00DA7242">
        <w:rPr>
          <w:rFonts w:ascii="Arial" w:hAnsi="Arial" w:cs="Arial"/>
          <w:sz w:val="20"/>
          <w:szCs w:val="20"/>
        </w:rPr>
        <w:t xml:space="preserve"> </w:t>
      </w:r>
      <w:r w:rsidRPr="00DA7242">
        <w:rPr>
          <w:rFonts w:ascii="Arial" w:hAnsi="Arial" w:cs="Arial"/>
          <w:sz w:val="20"/>
          <w:szCs w:val="20"/>
        </w:rPr>
        <w:t>It provides for each area the following information:</w:t>
      </w:r>
    </w:p>
    <w:p w14:paraId="16F0D62F" w14:textId="77777777" w:rsidR="005F106D" w:rsidRPr="00DA7242" w:rsidRDefault="005F106D" w:rsidP="00751844">
      <w:pPr>
        <w:pStyle w:val="ListParagraph"/>
        <w:numPr>
          <w:ilvl w:val="0"/>
          <w:numId w:val="33"/>
        </w:numPr>
        <w:tabs>
          <w:tab w:val="left" w:pos="3402"/>
        </w:tabs>
        <w:spacing w:line="240" w:lineRule="auto"/>
        <w:jc w:val="both"/>
        <w:rPr>
          <w:rFonts w:ascii="Arial" w:hAnsi="Arial" w:cs="Arial"/>
          <w:sz w:val="20"/>
          <w:szCs w:val="20"/>
        </w:rPr>
      </w:pPr>
      <w:r w:rsidRPr="00DA7242">
        <w:rPr>
          <w:rFonts w:ascii="Arial" w:hAnsi="Arial" w:cs="Arial"/>
          <w:sz w:val="20"/>
          <w:szCs w:val="20"/>
        </w:rPr>
        <w:t>Market Risk</w:t>
      </w:r>
      <w:r w:rsidR="00003A10" w:rsidRPr="00DA7242">
        <w:rPr>
          <w:rFonts w:ascii="Arial" w:hAnsi="Arial" w:cs="Arial"/>
          <w:sz w:val="20"/>
          <w:szCs w:val="20"/>
        </w:rPr>
        <w:t>:</w:t>
      </w:r>
    </w:p>
    <w:p w14:paraId="30557702" w14:textId="77777777"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General risk indicators (Regulatory market risk metrics and bank internal global stress test metric)</w:t>
      </w:r>
      <w:r w:rsidR="00003A10" w:rsidRPr="00DA7242">
        <w:rPr>
          <w:rFonts w:ascii="Arial" w:hAnsi="Arial" w:cs="Arial"/>
          <w:sz w:val="20"/>
          <w:szCs w:val="20"/>
        </w:rPr>
        <w:t>;</w:t>
      </w:r>
    </w:p>
    <w:p w14:paraId="59C34877" w14:textId="77777777"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Market risk sensitivities (focus on core risk factors both for trading and banking book exposures)</w:t>
      </w:r>
      <w:r w:rsidR="00003A10" w:rsidRPr="00DA7242">
        <w:rPr>
          <w:rFonts w:ascii="Arial" w:hAnsi="Arial" w:cs="Arial"/>
          <w:sz w:val="20"/>
          <w:szCs w:val="20"/>
        </w:rPr>
        <w:t>.</w:t>
      </w:r>
    </w:p>
    <w:p w14:paraId="33BFD4AC" w14:textId="77777777" w:rsidR="005F106D" w:rsidRPr="00DA7242" w:rsidRDefault="005F106D" w:rsidP="00003A10">
      <w:pPr>
        <w:spacing w:after="0" w:line="240" w:lineRule="auto"/>
        <w:ind w:left="142"/>
        <w:jc w:val="both"/>
        <w:rPr>
          <w:rFonts w:ascii="Arial" w:hAnsi="Arial" w:cs="Arial"/>
          <w:sz w:val="20"/>
          <w:szCs w:val="20"/>
        </w:rPr>
      </w:pPr>
    </w:p>
    <w:p w14:paraId="614EA359" w14:textId="40F6D0E3" w:rsidR="005F106D" w:rsidRPr="00DA7242" w:rsidRDefault="008377C5" w:rsidP="00751844">
      <w:pPr>
        <w:pStyle w:val="ListParagraph"/>
        <w:numPr>
          <w:ilvl w:val="0"/>
          <w:numId w:val="33"/>
        </w:numPr>
        <w:spacing w:line="240" w:lineRule="auto"/>
        <w:jc w:val="both"/>
        <w:rPr>
          <w:rFonts w:ascii="Arial" w:hAnsi="Arial" w:cs="Arial"/>
          <w:sz w:val="20"/>
          <w:szCs w:val="20"/>
        </w:rPr>
      </w:pPr>
      <w:r w:rsidRPr="00DA7242">
        <w:rPr>
          <w:rFonts w:ascii="Arial" w:hAnsi="Arial" w:cs="Arial"/>
          <w:sz w:val="20"/>
          <w:szCs w:val="20"/>
        </w:rPr>
        <w:t xml:space="preserve">Trading </w:t>
      </w:r>
      <w:r w:rsidR="00BD7615" w:rsidRPr="00DA7242">
        <w:rPr>
          <w:rFonts w:ascii="Arial" w:hAnsi="Arial" w:cs="Arial"/>
          <w:sz w:val="20"/>
          <w:szCs w:val="20"/>
        </w:rPr>
        <w:t>r</w:t>
      </w:r>
      <w:r w:rsidRPr="00DA7242">
        <w:rPr>
          <w:rFonts w:ascii="Arial" w:hAnsi="Arial" w:cs="Arial"/>
          <w:sz w:val="20"/>
          <w:szCs w:val="20"/>
        </w:rPr>
        <w:t>evenue and re-pricing risk</w:t>
      </w:r>
      <w:r w:rsidR="005227D4" w:rsidRPr="00DA7242">
        <w:rPr>
          <w:rFonts w:ascii="Arial" w:hAnsi="Arial" w:cs="Arial"/>
          <w:sz w:val="20"/>
          <w:szCs w:val="20"/>
        </w:rPr>
        <w:t xml:space="preserve"> </w:t>
      </w:r>
      <w:r w:rsidR="005F106D" w:rsidRPr="00DA7242">
        <w:rPr>
          <w:rFonts w:ascii="Arial" w:hAnsi="Arial" w:cs="Arial"/>
          <w:sz w:val="20"/>
          <w:szCs w:val="20"/>
        </w:rPr>
        <w:t>for financial instruments at fair value in the tradi</w:t>
      </w:r>
      <w:r w:rsidR="00D72453" w:rsidRPr="00DA7242">
        <w:rPr>
          <w:rFonts w:ascii="Arial" w:hAnsi="Arial" w:cs="Arial"/>
          <w:sz w:val="20"/>
          <w:szCs w:val="20"/>
        </w:rPr>
        <w:t>ng book and in the banking book</w:t>
      </w:r>
    </w:p>
    <w:p w14:paraId="20DD7782" w14:textId="77777777" w:rsidR="005F106D" w:rsidRPr="00DA7242" w:rsidRDefault="008377C5"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Main drivers of trading revenue</w:t>
      </w:r>
      <w:r w:rsidR="00003A10" w:rsidRPr="00DA7242">
        <w:rPr>
          <w:rFonts w:ascii="Arial" w:hAnsi="Arial" w:cs="Arial"/>
          <w:sz w:val="20"/>
          <w:szCs w:val="20"/>
        </w:rPr>
        <w:t>;</w:t>
      </w:r>
    </w:p>
    <w:p w14:paraId="6B3E7876" w14:textId="77777777" w:rsidR="005227D4" w:rsidRPr="00DA7242" w:rsidRDefault="005227D4"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Fair value changes of financial instruments in the banking book measured at the fair value</w:t>
      </w:r>
    </w:p>
    <w:p w14:paraId="56A03696" w14:textId="77777777" w:rsidR="005227D4" w:rsidRPr="00DA7242" w:rsidRDefault="005227D4" w:rsidP="00003A10">
      <w:pPr>
        <w:pStyle w:val="ListParagraph"/>
        <w:spacing w:after="0" w:line="240" w:lineRule="auto"/>
        <w:ind w:left="644"/>
        <w:jc w:val="both"/>
        <w:rPr>
          <w:rFonts w:ascii="Arial" w:hAnsi="Arial" w:cs="Arial"/>
          <w:sz w:val="20"/>
          <w:szCs w:val="20"/>
        </w:rPr>
      </w:pPr>
    </w:p>
    <w:p w14:paraId="5B5AEBBC" w14:textId="77777777" w:rsidR="005F106D" w:rsidRPr="00DA7242" w:rsidRDefault="005F106D" w:rsidP="00003A10">
      <w:pPr>
        <w:spacing w:after="0" w:line="240" w:lineRule="auto"/>
        <w:ind w:left="284"/>
        <w:jc w:val="both"/>
        <w:rPr>
          <w:rFonts w:ascii="Arial" w:hAnsi="Arial" w:cs="Arial"/>
          <w:sz w:val="20"/>
          <w:szCs w:val="20"/>
        </w:rPr>
      </w:pPr>
    </w:p>
    <w:p w14:paraId="4A1283EE" w14:textId="6BE21138" w:rsidR="005F106D" w:rsidRPr="00DA7242" w:rsidRDefault="005F106D" w:rsidP="00751844">
      <w:pPr>
        <w:pStyle w:val="ListParagraph"/>
        <w:numPr>
          <w:ilvl w:val="0"/>
          <w:numId w:val="33"/>
        </w:numPr>
        <w:spacing w:line="240" w:lineRule="auto"/>
        <w:jc w:val="both"/>
        <w:rPr>
          <w:rFonts w:ascii="Arial" w:hAnsi="Arial" w:cs="Arial"/>
          <w:sz w:val="20"/>
          <w:szCs w:val="20"/>
        </w:rPr>
      </w:pPr>
      <w:r w:rsidRPr="00DA7242">
        <w:rPr>
          <w:rFonts w:ascii="Arial" w:hAnsi="Arial" w:cs="Arial"/>
          <w:sz w:val="20"/>
          <w:szCs w:val="20"/>
        </w:rPr>
        <w:t xml:space="preserve">Counterparty </w:t>
      </w:r>
      <w:r w:rsidR="00A950FE" w:rsidRPr="00DA7242">
        <w:rPr>
          <w:rFonts w:ascii="Arial" w:hAnsi="Arial" w:cs="Arial"/>
          <w:sz w:val="20"/>
          <w:szCs w:val="20"/>
        </w:rPr>
        <w:t xml:space="preserve">Credit </w:t>
      </w:r>
      <w:r w:rsidRPr="00DA7242">
        <w:rPr>
          <w:rFonts w:ascii="Arial" w:hAnsi="Arial" w:cs="Arial"/>
          <w:sz w:val="20"/>
          <w:szCs w:val="20"/>
        </w:rPr>
        <w:t>risk</w:t>
      </w:r>
      <w:r w:rsidR="00DA597A" w:rsidRPr="00DA7242">
        <w:rPr>
          <w:rFonts w:ascii="Arial" w:hAnsi="Arial" w:cs="Arial"/>
          <w:sz w:val="20"/>
          <w:szCs w:val="20"/>
        </w:rPr>
        <w:t xml:space="preserve">: </w:t>
      </w:r>
      <w:r w:rsidRPr="00DA7242">
        <w:rPr>
          <w:rFonts w:ascii="Arial" w:hAnsi="Arial" w:cs="Arial"/>
          <w:sz w:val="20"/>
          <w:szCs w:val="20"/>
        </w:rPr>
        <w:t>This risk is observed from several angles:</w:t>
      </w:r>
    </w:p>
    <w:p w14:paraId="435C2C3C" w14:textId="77777777"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Current CCR exposures</w:t>
      </w:r>
      <w:r w:rsidR="00003A10" w:rsidRPr="00DA7242">
        <w:rPr>
          <w:rFonts w:ascii="Arial" w:hAnsi="Arial" w:cs="Arial"/>
          <w:sz w:val="20"/>
          <w:szCs w:val="20"/>
        </w:rPr>
        <w:t>;</w:t>
      </w:r>
    </w:p>
    <w:p w14:paraId="4219CD6B" w14:textId="57B878A5"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 xml:space="preserve">Stress </w:t>
      </w:r>
      <w:r w:rsidR="00A950FE" w:rsidRPr="00DA7242">
        <w:rPr>
          <w:rFonts w:ascii="Arial" w:hAnsi="Arial" w:cs="Arial"/>
          <w:sz w:val="20"/>
          <w:szCs w:val="20"/>
        </w:rPr>
        <w:t xml:space="preserve">test </w:t>
      </w:r>
      <w:r w:rsidRPr="00DA7242">
        <w:rPr>
          <w:rFonts w:ascii="Arial" w:hAnsi="Arial" w:cs="Arial"/>
          <w:sz w:val="20"/>
          <w:szCs w:val="20"/>
        </w:rPr>
        <w:t>CCR exposures (projection)</w:t>
      </w:r>
      <w:r w:rsidR="00003A10" w:rsidRPr="00DA7242">
        <w:rPr>
          <w:rFonts w:ascii="Arial" w:hAnsi="Arial" w:cs="Arial"/>
          <w:sz w:val="20"/>
          <w:szCs w:val="20"/>
        </w:rPr>
        <w:t>;</w:t>
      </w:r>
    </w:p>
    <w:p w14:paraId="72EA509E" w14:textId="2BC5F092"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Liquidity impact of market turmoil for collateralised</w:t>
      </w:r>
      <w:r w:rsidR="00FD53E5">
        <w:rPr>
          <w:rFonts w:ascii="Arial" w:hAnsi="Arial" w:cs="Arial"/>
          <w:sz w:val="20"/>
          <w:szCs w:val="20"/>
        </w:rPr>
        <w:t>/margined</w:t>
      </w:r>
      <w:r w:rsidRPr="00DA7242">
        <w:rPr>
          <w:rFonts w:ascii="Arial" w:hAnsi="Arial" w:cs="Arial"/>
          <w:sz w:val="20"/>
          <w:szCs w:val="20"/>
        </w:rPr>
        <w:t xml:space="preserve"> trades (CCP and OTC cleared SFTs, Derivatives &amp;</w:t>
      </w:r>
      <w:r w:rsidR="00003A10" w:rsidRPr="00DA7242">
        <w:rPr>
          <w:rFonts w:ascii="Arial" w:hAnsi="Arial" w:cs="Arial"/>
          <w:sz w:val="20"/>
          <w:szCs w:val="20"/>
        </w:rPr>
        <w:t xml:space="preserve"> Long Settlement Transactions);</w:t>
      </w:r>
    </w:p>
    <w:p w14:paraId="2223B9EE"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Scope of the reporting</w:t>
      </w:r>
    </w:p>
    <w:p w14:paraId="4FA0B51A" w14:textId="6275EBE2"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This template includes </w:t>
      </w:r>
      <w:r w:rsidR="005A4A21" w:rsidRPr="00DA7242">
        <w:rPr>
          <w:rFonts w:ascii="Arial" w:hAnsi="Arial" w:cs="Arial"/>
          <w:sz w:val="20"/>
          <w:szCs w:val="20"/>
        </w:rPr>
        <w:t>seven</w:t>
      </w:r>
      <w:r w:rsidRPr="00DA7242">
        <w:rPr>
          <w:rFonts w:ascii="Arial" w:hAnsi="Arial" w:cs="Arial"/>
          <w:sz w:val="20"/>
          <w:szCs w:val="20"/>
        </w:rPr>
        <w:t xml:space="preserve"> distinct tables:</w:t>
      </w:r>
    </w:p>
    <w:p w14:paraId="635097E3" w14:textId="2339D308"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1 General </w:t>
      </w:r>
      <w:r w:rsidR="00BD7615" w:rsidRPr="00DA7242">
        <w:rPr>
          <w:rFonts w:ascii="Arial" w:hAnsi="Arial" w:cs="Arial"/>
          <w:sz w:val="20"/>
          <w:szCs w:val="20"/>
        </w:rPr>
        <w:t>r</w:t>
      </w:r>
      <w:r w:rsidRPr="00DA7242">
        <w:rPr>
          <w:rFonts w:ascii="Arial" w:hAnsi="Arial" w:cs="Arial"/>
          <w:sz w:val="20"/>
          <w:szCs w:val="20"/>
        </w:rPr>
        <w:t>isk indicators</w:t>
      </w:r>
    </w:p>
    <w:p w14:paraId="25DFB975" w14:textId="7C618F1A"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2 Market </w:t>
      </w:r>
      <w:r w:rsidR="00BD7615" w:rsidRPr="00DA7242">
        <w:rPr>
          <w:rFonts w:ascii="Arial" w:hAnsi="Arial" w:cs="Arial"/>
          <w:sz w:val="20"/>
          <w:szCs w:val="20"/>
        </w:rPr>
        <w:t>s</w:t>
      </w:r>
      <w:r w:rsidRPr="00DA7242">
        <w:rPr>
          <w:rFonts w:ascii="Arial" w:hAnsi="Arial" w:cs="Arial"/>
          <w:sz w:val="20"/>
          <w:szCs w:val="20"/>
        </w:rPr>
        <w:t>ensitivities</w:t>
      </w:r>
    </w:p>
    <w:p w14:paraId="12DA76C1" w14:textId="45BBD74D"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3 Trading </w:t>
      </w:r>
      <w:r w:rsidR="00BD7615" w:rsidRPr="00DA7242">
        <w:rPr>
          <w:rFonts w:ascii="Arial" w:hAnsi="Arial" w:cs="Arial"/>
          <w:sz w:val="20"/>
          <w:szCs w:val="20"/>
        </w:rPr>
        <w:t>r</w:t>
      </w:r>
      <w:r w:rsidRPr="00DA7242">
        <w:rPr>
          <w:rFonts w:ascii="Arial" w:hAnsi="Arial" w:cs="Arial"/>
          <w:sz w:val="20"/>
          <w:szCs w:val="20"/>
        </w:rPr>
        <w:t>evenue</w:t>
      </w:r>
    </w:p>
    <w:p w14:paraId="620A74E5" w14:textId="77777777"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4 Fair value changes of instruments </w:t>
      </w:r>
      <w:r w:rsidR="005227D4" w:rsidRPr="00DA7242">
        <w:rPr>
          <w:rFonts w:ascii="Arial" w:hAnsi="Arial" w:cs="Arial"/>
          <w:sz w:val="20"/>
          <w:szCs w:val="20"/>
        </w:rPr>
        <w:t xml:space="preserve">in the regulatory banking book </w:t>
      </w:r>
      <w:r w:rsidRPr="00DA7242">
        <w:rPr>
          <w:rFonts w:ascii="Arial" w:hAnsi="Arial" w:cs="Arial"/>
          <w:sz w:val="20"/>
          <w:szCs w:val="20"/>
        </w:rPr>
        <w:t>measured at fair value through Other Comprehensive Income (at reporting date)</w:t>
      </w:r>
    </w:p>
    <w:p w14:paraId="46336A87" w14:textId="523F6C61"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5 Current Counterparty Credit Risk </w:t>
      </w:r>
      <w:r w:rsidR="00BD7615" w:rsidRPr="00DA7242">
        <w:rPr>
          <w:rFonts w:ascii="Arial" w:hAnsi="Arial" w:cs="Arial"/>
          <w:sz w:val="20"/>
          <w:szCs w:val="20"/>
        </w:rPr>
        <w:t>e</w:t>
      </w:r>
      <w:r w:rsidRPr="00DA7242">
        <w:rPr>
          <w:rFonts w:ascii="Arial" w:hAnsi="Arial" w:cs="Arial"/>
          <w:sz w:val="20"/>
          <w:szCs w:val="20"/>
        </w:rPr>
        <w:t>xposure</w:t>
      </w:r>
    </w:p>
    <w:p w14:paraId="3D8AA81E" w14:textId="662DA30C"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6 Counterparty change - Stress </w:t>
      </w:r>
      <w:r w:rsidR="00A950FE" w:rsidRPr="00DA7242">
        <w:rPr>
          <w:rFonts w:ascii="Arial" w:hAnsi="Arial" w:cs="Arial"/>
          <w:sz w:val="20"/>
          <w:szCs w:val="20"/>
        </w:rPr>
        <w:t xml:space="preserve">test </w:t>
      </w:r>
      <w:r w:rsidRPr="00DA7242">
        <w:rPr>
          <w:rFonts w:ascii="Arial" w:hAnsi="Arial" w:cs="Arial"/>
          <w:sz w:val="20"/>
          <w:szCs w:val="20"/>
        </w:rPr>
        <w:t xml:space="preserve">Exposure Value </w:t>
      </w:r>
    </w:p>
    <w:p w14:paraId="0B605008" w14:textId="77777777"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Table 7 CCP and OTC cleared SFTs,  Derivatives &amp; Long Settlement Transactions</w:t>
      </w:r>
    </w:p>
    <w:p w14:paraId="08EB012D"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All information </w:t>
      </w:r>
      <w:r w:rsidR="00E86D6B" w:rsidRPr="00DA7242">
        <w:rPr>
          <w:rFonts w:ascii="Arial" w:hAnsi="Arial" w:cs="Arial"/>
          <w:sz w:val="20"/>
          <w:szCs w:val="20"/>
        </w:rPr>
        <w:t>should</w:t>
      </w:r>
      <w:r w:rsidRPr="00DA7242">
        <w:rPr>
          <w:rFonts w:ascii="Arial" w:hAnsi="Arial" w:cs="Arial"/>
          <w:sz w:val="20"/>
          <w:szCs w:val="20"/>
        </w:rPr>
        <w:t xml:space="preserve"> correspond to the amount calculated at the reporting date, unless otherwise stated.</w:t>
      </w:r>
    </w:p>
    <w:p w14:paraId="3A98CCA7"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 xml:space="preserve">Significant Institutions Reporting Sample </w:t>
      </w:r>
    </w:p>
    <w:p w14:paraId="12EFEA14" w14:textId="77777777" w:rsidR="005F106D" w:rsidRPr="00DA7242" w:rsidRDefault="005F106D" w:rsidP="007730D3">
      <w:pPr>
        <w:jc w:val="both"/>
        <w:rPr>
          <w:rFonts w:ascii="Arial" w:hAnsi="Arial" w:cs="Arial"/>
          <w:sz w:val="20"/>
          <w:szCs w:val="20"/>
        </w:rPr>
      </w:pPr>
      <w:r w:rsidRPr="00DA7242">
        <w:rPr>
          <w:rFonts w:ascii="Arial" w:hAnsi="Arial" w:cs="Arial"/>
          <w:sz w:val="20"/>
          <w:szCs w:val="20"/>
        </w:rPr>
        <w:t xml:space="preserve">Table 1 </w:t>
      </w:r>
      <w:r w:rsidR="00930346" w:rsidRPr="00DA7242">
        <w:rPr>
          <w:rFonts w:ascii="Arial" w:hAnsi="Arial" w:cs="Arial"/>
          <w:sz w:val="20"/>
          <w:szCs w:val="20"/>
        </w:rPr>
        <w:t>to T</w:t>
      </w:r>
      <w:r w:rsidR="00E10319" w:rsidRPr="00DA7242">
        <w:rPr>
          <w:rFonts w:ascii="Arial" w:hAnsi="Arial" w:cs="Arial"/>
          <w:sz w:val="20"/>
          <w:szCs w:val="20"/>
        </w:rPr>
        <w:t>able 4</w:t>
      </w:r>
      <w:r w:rsidRPr="00DA7242">
        <w:rPr>
          <w:rFonts w:ascii="Arial" w:hAnsi="Arial" w:cs="Arial"/>
          <w:sz w:val="20"/>
          <w:szCs w:val="20"/>
        </w:rPr>
        <w:t xml:space="preserve"> of the template </w:t>
      </w:r>
      <w:r w:rsidR="000B42A0" w:rsidRPr="00DA7242">
        <w:rPr>
          <w:rFonts w:ascii="Arial" w:hAnsi="Arial" w:cs="Arial"/>
          <w:sz w:val="20"/>
          <w:szCs w:val="20"/>
        </w:rPr>
        <w:t>are expected to</w:t>
      </w:r>
      <w:r w:rsidRPr="00DA7242">
        <w:rPr>
          <w:rFonts w:ascii="Arial" w:hAnsi="Arial" w:cs="Arial"/>
          <w:sz w:val="20"/>
          <w:szCs w:val="20"/>
        </w:rPr>
        <w:t xml:space="preserve"> be filled</w:t>
      </w:r>
      <w:r w:rsidR="00930346" w:rsidRPr="00DA7242">
        <w:rPr>
          <w:rFonts w:ascii="Arial" w:hAnsi="Arial" w:cs="Arial"/>
          <w:sz w:val="20"/>
          <w:szCs w:val="20"/>
        </w:rPr>
        <w:t xml:space="preserve"> in</w:t>
      </w:r>
      <w:r w:rsidRPr="00DA7242">
        <w:rPr>
          <w:rFonts w:ascii="Arial" w:hAnsi="Arial" w:cs="Arial"/>
          <w:sz w:val="20"/>
          <w:szCs w:val="20"/>
        </w:rPr>
        <w:t xml:space="preserve"> by all Significant Institutions </w:t>
      </w:r>
      <w:r w:rsidR="007006E8" w:rsidRPr="00DA7242">
        <w:rPr>
          <w:rFonts w:ascii="Arial" w:hAnsi="Arial" w:cs="Arial"/>
          <w:sz w:val="20"/>
          <w:szCs w:val="20"/>
        </w:rPr>
        <w:t xml:space="preserve">at the highest level of consolidation </w:t>
      </w:r>
      <w:r w:rsidR="00DA597A" w:rsidRPr="00DA7242">
        <w:rPr>
          <w:rFonts w:ascii="Arial" w:hAnsi="Arial" w:cs="Arial"/>
          <w:sz w:val="20"/>
          <w:szCs w:val="20"/>
        </w:rPr>
        <w:t xml:space="preserve">and </w:t>
      </w:r>
      <w:r w:rsidR="007006E8" w:rsidRPr="00DA7242">
        <w:rPr>
          <w:rFonts w:ascii="Arial" w:hAnsi="Arial" w:cs="Arial"/>
          <w:sz w:val="20"/>
          <w:szCs w:val="20"/>
        </w:rPr>
        <w:t xml:space="preserve">Targeted </w:t>
      </w:r>
      <w:r w:rsidR="00DA597A" w:rsidRPr="00DA7242">
        <w:rPr>
          <w:rFonts w:ascii="Arial" w:hAnsi="Arial" w:cs="Arial"/>
          <w:sz w:val="20"/>
          <w:szCs w:val="20"/>
        </w:rPr>
        <w:t>Subsidiaries as defined under Part I.</w:t>
      </w:r>
      <w:r w:rsidRPr="00DA7242">
        <w:rPr>
          <w:rFonts w:ascii="Arial" w:hAnsi="Arial" w:cs="Arial"/>
          <w:sz w:val="20"/>
          <w:szCs w:val="20"/>
        </w:rPr>
        <w:t xml:space="preserve"> </w:t>
      </w:r>
    </w:p>
    <w:p w14:paraId="18F3B8B7" w14:textId="70DAF370" w:rsidR="005F106D" w:rsidRPr="00DA7242" w:rsidRDefault="005F106D" w:rsidP="007730D3">
      <w:pPr>
        <w:jc w:val="both"/>
        <w:rPr>
          <w:rFonts w:ascii="Arial" w:hAnsi="Arial" w:cs="Arial"/>
          <w:sz w:val="20"/>
          <w:szCs w:val="20"/>
        </w:rPr>
      </w:pPr>
      <w:r w:rsidRPr="00DA7242">
        <w:rPr>
          <w:rFonts w:ascii="Arial" w:hAnsi="Arial" w:cs="Arial"/>
          <w:sz w:val="20"/>
          <w:szCs w:val="20"/>
        </w:rPr>
        <w:t xml:space="preserve">Table </w:t>
      </w:r>
      <w:r w:rsidR="00281294" w:rsidRPr="00DA7242">
        <w:rPr>
          <w:rFonts w:ascii="Arial" w:hAnsi="Arial" w:cs="Arial"/>
          <w:sz w:val="20"/>
          <w:szCs w:val="20"/>
        </w:rPr>
        <w:t>5</w:t>
      </w:r>
      <w:r w:rsidRPr="00DA7242">
        <w:rPr>
          <w:rFonts w:ascii="Arial" w:hAnsi="Arial" w:cs="Arial"/>
          <w:sz w:val="20"/>
          <w:szCs w:val="20"/>
        </w:rPr>
        <w:t xml:space="preserve"> to Table </w:t>
      </w:r>
      <w:r w:rsidR="00E10319" w:rsidRPr="00DA7242">
        <w:rPr>
          <w:rFonts w:ascii="Arial" w:hAnsi="Arial" w:cs="Arial"/>
          <w:sz w:val="20"/>
          <w:szCs w:val="20"/>
        </w:rPr>
        <w:t>7</w:t>
      </w:r>
      <w:r w:rsidRPr="00DA7242">
        <w:rPr>
          <w:rFonts w:ascii="Arial" w:hAnsi="Arial" w:cs="Arial"/>
          <w:sz w:val="20"/>
          <w:szCs w:val="20"/>
        </w:rPr>
        <w:t xml:space="preserve"> </w:t>
      </w:r>
      <w:r w:rsidR="00456478" w:rsidRPr="00DA7242">
        <w:rPr>
          <w:rFonts w:ascii="Arial" w:hAnsi="Arial" w:cs="Arial"/>
          <w:sz w:val="20"/>
          <w:szCs w:val="20"/>
        </w:rPr>
        <w:t>are expected to be filled in by individual banks selected based on their size, the nature, scope and complexity of their activities. Banks having to report this information will be notified individually</w:t>
      </w:r>
      <w:r w:rsidR="003D74F6" w:rsidRPr="00DA7242">
        <w:rPr>
          <w:rFonts w:ascii="Arial" w:hAnsi="Arial" w:cs="Arial"/>
          <w:sz w:val="20"/>
          <w:szCs w:val="20"/>
        </w:rPr>
        <w:t xml:space="preserve">. </w:t>
      </w:r>
    </w:p>
    <w:p w14:paraId="016DE50D" w14:textId="36B84479" w:rsidR="005A4A21" w:rsidRPr="00DA7242" w:rsidRDefault="005A4A21" w:rsidP="005A4A21">
      <w:pPr>
        <w:jc w:val="both"/>
        <w:rPr>
          <w:rFonts w:ascii="Arial" w:hAnsi="Arial" w:cs="Arial"/>
          <w:sz w:val="20"/>
          <w:szCs w:val="20"/>
        </w:rPr>
      </w:pPr>
      <w:r w:rsidRPr="00DA7242">
        <w:rPr>
          <w:rFonts w:ascii="Arial" w:hAnsi="Arial" w:cs="Arial"/>
          <w:sz w:val="20"/>
          <w:szCs w:val="20"/>
        </w:rPr>
        <w:lastRenderedPageBreak/>
        <w:t xml:space="preserve">Reporting institutions should fill in the template according to the mapping with the </w:t>
      </w:r>
      <w:proofErr w:type="gramStart"/>
      <w:r w:rsidRPr="00DA7242">
        <w:rPr>
          <w:rFonts w:ascii="Arial" w:hAnsi="Arial" w:cs="Arial"/>
          <w:sz w:val="20"/>
          <w:szCs w:val="20"/>
        </w:rPr>
        <w:t>ITS</w:t>
      </w:r>
      <w:proofErr w:type="gramEnd"/>
      <w:r w:rsidRPr="00DA7242">
        <w:rPr>
          <w:rFonts w:ascii="Arial" w:hAnsi="Arial" w:cs="Arial"/>
          <w:sz w:val="20"/>
          <w:szCs w:val="20"/>
        </w:rPr>
        <w:t xml:space="preserve"> on Supervisory Reporting as indicated in the instruction and reported in the reporting template. Where a mapping with the ITS on Supervisory reporting does not exist, specific instructions for row and columns are provided in the paragraphs below and should be applied by reporting institutions when filling-in the templates.</w:t>
      </w:r>
    </w:p>
    <w:p w14:paraId="590207D7"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Template Specific Instructions</w:t>
      </w:r>
    </w:p>
    <w:p w14:paraId="3DF3A842" w14:textId="1ABA02EE"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1: General </w:t>
      </w:r>
      <w:r w:rsidR="00BD7615" w:rsidRPr="00DA7242">
        <w:rPr>
          <w:rFonts w:ascii="Arial" w:hAnsi="Arial" w:cs="Arial"/>
          <w:b/>
          <w:sz w:val="20"/>
          <w:szCs w:val="20"/>
        </w:rPr>
        <w:t>r</w:t>
      </w:r>
      <w:r w:rsidRPr="00DA7242">
        <w:rPr>
          <w:rFonts w:ascii="Arial" w:hAnsi="Arial" w:cs="Arial"/>
          <w:b/>
          <w:sz w:val="20"/>
          <w:szCs w:val="20"/>
        </w:rPr>
        <w:t xml:space="preserve">isk indicators </w:t>
      </w:r>
      <w:r w:rsidR="0048044D" w:rsidRPr="00DA7242">
        <w:rPr>
          <w:rFonts w:ascii="Arial" w:hAnsi="Arial" w:cs="Arial"/>
          <w:sz w:val="20"/>
          <w:szCs w:val="20"/>
        </w:rPr>
        <w:t xml:space="preserve">- </w:t>
      </w:r>
      <w:r w:rsidR="0048044D" w:rsidRPr="00DA7242">
        <w:rPr>
          <w:rFonts w:ascii="Arial" w:hAnsi="Arial" w:cs="Arial"/>
          <w:i/>
          <w:sz w:val="20"/>
          <w:szCs w:val="20"/>
        </w:rPr>
        <w:t>at reporting date</w:t>
      </w:r>
    </w:p>
    <w:p w14:paraId="478ACE0F" w14:textId="77777777" w:rsidR="005F106D" w:rsidRDefault="005F106D" w:rsidP="005F106D">
      <w:pPr>
        <w:jc w:val="both"/>
        <w:rPr>
          <w:rFonts w:ascii="Arial" w:hAnsi="Arial" w:cs="Arial"/>
          <w:sz w:val="20"/>
          <w:szCs w:val="20"/>
        </w:rPr>
      </w:pPr>
      <w:r w:rsidRPr="00DA7242">
        <w:rPr>
          <w:rFonts w:ascii="Arial" w:hAnsi="Arial" w:cs="Arial"/>
          <w:sz w:val="20"/>
          <w:szCs w:val="20"/>
        </w:rPr>
        <w:t xml:space="preserve">This table provides a breakdown of regulatory </w:t>
      </w:r>
      <w:proofErr w:type="spellStart"/>
      <w:r w:rsidRPr="00DA7242">
        <w:rPr>
          <w:rFonts w:ascii="Arial" w:hAnsi="Arial" w:cs="Arial"/>
          <w:sz w:val="20"/>
          <w:szCs w:val="20"/>
        </w:rPr>
        <w:t>VaR</w:t>
      </w:r>
      <w:proofErr w:type="spellEnd"/>
      <w:r w:rsidRPr="00DA7242">
        <w:rPr>
          <w:rFonts w:ascii="Arial" w:hAnsi="Arial" w:cs="Arial"/>
          <w:sz w:val="20"/>
          <w:szCs w:val="20"/>
        </w:rPr>
        <w:t xml:space="preserve"> and stressed </w:t>
      </w:r>
      <w:proofErr w:type="spellStart"/>
      <w:r w:rsidRPr="00DA7242">
        <w:rPr>
          <w:rFonts w:ascii="Arial" w:hAnsi="Arial" w:cs="Arial"/>
          <w:sz w:val="20"/>
          <w:szCs w:val="20"/>
        </w:rPr>
        <w:t>VaR</w:t>
      </w:r>
      <w:proofErr w:type="spellEnd"/>
      <w:r w:rsidRPr="00DA7242">
        <w:rPr>
          <w:rFonts w:ascii="Arial" w:hAnsi="Arial" w:cs="Arial"/>
          <w:sz w:val="20"/>
          <w:szCs w:val="20"/>
        </w:rPr>
        <w:t xml:space="preserve"> (</w:t>
      </w:r>
      <w:proofErr w:type="spellStart"/>
      <w:r w:rsidRPr="00DA7242">
        <w:rPr>
          <w:rFonts w:ascii="Arial" w:hAnsi="Arial" w:cs="Arial"/>
          <w:sz w:val="20"/>
          <w:szCs w:val="20"/>
        </w:rPr>
        <w:t>sVaR</w:t>
      </w:r>
      <w:proofErr w:type="spellEnd"/>
      <w:r w:rsidRPr="00DA7242">
        <w:rPr>
          <w:rFonts w:ascii="Arial" w:hAnsi="Arial" w:cs="Arial"/>
          <w:sz w:val="20"/>
          <w:szCs w:val="20"/>
        </w:rPr>
        <w:t xml:space="preserve">) figures according to the different market risks (debt, equity, FX, commodities) and other information relevant for the calculation of the own funds requirements. It as well provides the Total Risk Exposure Amount for the Standardised approach banks. </w:t>
      </w:r>
    </w:p>
    <w:p w14:paraId="2D33A02C" w14:textId="5F15CB53" w:rsidR="00F01BA3" w:rsidRPr="00DA7242" w:rsidRDefault="00F01BA3" w:rsidP="005F106D">
      <w:pPr>
        <w:jc w:val="both"/>
        <w:rPr>
          <w:rFonts w:ascii="Arial" w:hAnsi="Arial" w:cs="Arial"/>
          <w:sz w:val="20"/>
          <w:szCs w:val="20"/>
        </w:rPr>
      </w:pPr>
      <w:r w:rsidRPr="00704833">
        <w:rPr>
          <w:rFonts w:ascii="Arial" w:hAnsi="Arial" w:cs="Arial"/>
          <w:sz w:val="20"/>
          <w:szCs w:val="20"/>
          <w:highlight w:val="yellow"/>
        </w:rPr>
        <w:t>For columns 0080 to 0100, Insti</w:t>
      </w:r>
      <w:r w:rsidR="00D836E7">
        <w:rPr>
          <w:rFonts w:ascii="Arial" w:hAnsi="Arial" w:cs="Arial"/>
          <w:sz w:val="20"/>
          <w:szCs w:val="20"/>
          <w:highlight w:val="yellow"/>
        </w:rPr>
        <w:t>tutions should report the outcome</w:t>
      </w:r>
      <w:r w:rsidRPr="00704833">
        <w:rPr>
          <w:rFonts w:ascii="Arial" w:hAnsi="Arial" w:cs="Arial"/>
          <w:sz w:val="20"/>
          <w:szCs w:val="20"/>
          <w:highlight w:val="yellow"/>
        </w:rPr>
        <w:t xml:space="preserve"> from their own stress test process</w:t>
      </w:r>
      <w:r>
        <w:rPr>
          <w:rFonts w:ascii="Arial" w:hAnsi="Arial" w:cs="Arial"/>
          <w:sz w:val="20"/>
          <w:szCs w:val="20"/>
          <w:highlight w:val="yellow"/>
        </w:rPr>
        <w:t xml:space="preserve"> in relation to their trading book activities</w:t>
      </w:r>
      <w:r w:rsidRPr="00704833">
        <w:rPr>
          <w:rFonts w:ascii="Arial" w:hAnsi="Arial" w:cs="Arial"/>
          <w:sz w:val="20"/>
          <w:szCs w:val="20"/>
          <w:highlight w:val="yellow"/>
        </w:rPr>
        <w:t>. Where no stress process exi</w:t>
      </w:r>
      <w:r w:rsidR="00D836E7">
        <w:rPr>
          <w:rFonts w:ascii="Arial" w:hAnsi="Arial" w:cs="Arial"/>
          <w:sz w:val="20"/>
          <w:szCs w:val="20"/>
          <w:highlight w:val="yellow"/>
        </w:rPr>
        <w:t>s</w:t>
      </w:r>
      <w:r w:rsidRPr="00704833">
        <w:rPr>
          <w:rFonts w:ascii="Arial" w:hAnsi="Arial" w:cs="Arial"/>
          <w:sz w:val="20"/>
          <w:szCs w:val="20"/>
          <w:highlight w:val="yellow"/>
        </w:rPr>
        <w:t xml:space="preserve">ts internally, or when no meaningful aggregated result can be computed based </w:t>
      </w:r>
      <w:r w:rsidR="00D836E7">
        <w:rPr>
          <w:rFonts w:ascii="Arial" w:hAnsi="Arial" w:cs="Arial"/>
          <w:sz w:val="20"/>
          <w:szCs w:val="20"/>
          <w:highlight w:val="yellow"/>
        </w:rPr>
        <w:t xml:space="preserve">on </w:t>
      </w:r>
      <w:r w:rsidRPr="00704833">
        <w:rPr>
          <w:rFonts w:ascii="Arial" w:hAnsi="Arial" w:cs="Arial"/>
          <w:sz w:val="20"/>
          <w:szCs w:val="20"/>
          <w:highlight w:val="yellow"/>
        </w:rPr>
        <w:t xml:space="preserve">a set of individual stress test scenarios, Institutions shall leave the </w:t>
      </w:r>
      <w:r>
        <w:rPr>
          <w:rFonts w:ascii="Arial" w:hAnsi="Arial" w:cs="Arial"/>
          <w:sz w:val="20"/>
          <w:szCs w:val="20"/>
          <w:highlight w:val="yellow"/>
        </w:rPr>
        <w:t>stress test</w:t>
      </w:r>
      <w:r w:rsidRPr="00704833">
        <w:rPr>
          <w:rFonts w:ascii="Arial" w:hAnsi="Arial" w:cs="Arial"/>
          <w:sz w:val="20"/>
          <w:szCs w:val="20"/>
          <w:highlight w:val="yellow"/>
        </w:rPr>
        <w:t xml:space="preserve"> section in the table 6.1. </w:t>
      </w:r>
      <w:proofErr w:type="gramStart"/>
      <w:r w:rsidRPr="00704833">
        <w:rPr>
          <w:rFonts w:ascii="Arial" w:hAnsi="Arial" w:cs="Arial"/>
          <w:sz w:val="20"/>
          <w:szCs w:val="20"/>
          <w:highlight w:val="yellow"/>
        </w:rPr>
        <w:t>blank</w:t>
      </w:r>
      <w:proofErr w:type="gramEnd"/>
      <w:r w:rsidRPr="00704833">
        <w:rPr>
          <w:rFonts w:ascii="Arial" w:hAnsi="Arial" w:cs="Arial"/>
          <w:sz w:val="20"/>
          <w:szCs w:val="20"/>
          <w:highlight w:val="yellow"/>
        </w:rPr>
        <w:t>.</w:t>
      </w:r>
      <w:r w:rsidRPr="00DA7242">
        <w:rPr>
          <w:rFonts w:ascii="Arial" w:hAnsi="Arial" w:cs="Arial"/>
          <w:sz w:val="20"/>
          <w:szCs w:val="20"/>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8311"/>
      </w:tblGrid>
      <w:tr w:rsidR="005F106D" w:rsidRPr="00DA7242" w14:paraId="687BD6FC" w14:textId="77777777" w:rsidTr="0035689D">
        <w:tc>
          <w:tcPr>
            <w:tcW w:w="1436" w:type="dxa"/>
            <w:tcBorders>
              <w:top w:val="single" w:sz="4" w:space="0" w:color="auto"/>
              <w:left w:val="single" w:sz="4" w:space="0" w:color="auto"/>
              <w:bottom w:val="single" w:sz="4" w:space="0" w:color="auto"/>
              <w:right w:val="single" w:sz="4" w:space="0" w:color="auto"/>
            </w:tcBorders>
            <w:shd w:val="clear" w:color="auto" w:fill="CCCCCC"/>
            <w:hideMark/>
          </w:tcPr>
          <w:p w14:paraId="330FE65F"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311" w:type="dxa"/>
            <w:tcBorders>
              <w:top w:val="single" w:sz="4" w:space="0" w:color="auto"/>
              <w:left w:val="single" w:sz="4" w:space="0" w:color="auto"/>
              <w:bottom w:val="single" w:sz="4" w:space="0" w:color="auto"/>
              <w:right w:val="single" w:sz="4" w:space="0" w:color="auto"/>
            </w:tcBorders>
            <w:shd w:val="clear" w:color="auto" w:fill="CCCCCC"/>
            <w:hideMark/>
          </w:tcPr>
          <w:p w14:paraId="0405AAF3"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0FCD42A1" w14:textId="77777777" w:rsidTr="0035689D">
        <w:tc>
          <w:tcPr>
            <w:tcW w:w="1436" w:type="dxa"/>
            <w:tcBorders>
              <w:top w:val="single" w:sz="4" w:space="0" w:color="auto"/>
              <w:left w:val="single" w:sz="4" w:space="0" w:color="auto"/>
              <w:bottom w:val="single" w:sz="4" w:space="0" w:color="auto"/>
              <w:right w:val="single" w:sz="4" w:space="0" w:color="auto"/>
            </w:tcBorders>
          </w:tcPr>
          <w:p w14:paraId="71F36FE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311" w:type="dxa"/>
            <w:tcBorders>
              <w:top w:val="single" w:sz="4" w:space="0" w:color="auto"/>
              <w:left w:val="single" w:sz="4" w:space="0" w:color="auto"/>
              <w:bottom w:val="single" w:sz="4" w:space="0" w:color="auto"/>
              <w:right w:val="single" w:sz="4" w:space="0" w:color="auto"/>
            </w:tcBorders>
          </w:tcPr>
          <w:p w14:paraId="2319533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roofErr w:type="spellStart"/>
            <w:r w:rsidRPr="00DA7242">
              <w:rPr>
                <w:rFonts w:ascii="Arial" w:eastAsia="Times New Roman" w:hAnsi="Arial" w:cs="Arial"/>
                <w:b/>
                <w:sz w:val="20"/>
                <w:szCs w:val="20"/>
                <w:u w:val="single"/>
              </w:rPr>
              <w:t>VaR</w:t>
            </w:r>
            <w:proofErr w:type="spellEnd"/>
          </w:p>
          <w:p w14:paraId="1D99BAA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It means the maximum potential loss that would result from a price change with a given probability over a specified time horizon. Articles 364(1) point (a) (</w:t>
            </w:r>
            <w:proofErr w:type="spellStart"/>
            <w:r w:rsidRPr="00DA7242">
              <w:rPr>
                <w:rFonts w:ascii="Arial" w:eastAsia="Times New Roman" w:hAnsi="Arial" w:cs="Arial"/>
                <w:sz w:val="20"/>
                <w:szCs w:val="20"/>
              </w:rPr>
              <w:t>i</w:t>
            </w:r>
            <w:proofErr w:type="spellEnd"/>
            <w:r w:rsidRPr="00DA7242">
              <w:rPr>
                <w:rFonts w:ascii="Arial" w:eastAsia="Times New Roman" w:hAnsi="Arial" w:cs="Arial"/>
                <w:sz w:val="20"/>
                <w:szCs w:val="20"/>
              </w:rPr>
              <w:t>) and 365 (1) of CRR.</w:t>
            </w:r>
          </w:p>
          <w:p w14:paraId="2D9A341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C030</w:t>
            </w:r>
          </w:p>
        </w:tc>
      </w:tr>
      <w:tr w:rsidR="005F106D" w:rsidRPr="00DA7242" w14:paraId="33F69647" w14:textId="77777777" w:rsidTr="0035689D">
        <w:tc>
          <w:tcPr>
            <w:tcW w:w="1436" w:type="dxa"/>
            <w:tcBorders>
              <w:top w:val="single" w:sz="4" w:space="0" w:color="auto"/>
              <w:left w:val="single" w:sz="4" w:space="0" w:color="auto"/>
              <w:bottom w:val="single" w:sz="4" w:space="0" w:color="auto"/>
              <w:right w:val="single" w:sz="4" w:space="0" w:color="auto"/>
            </w:tcBorders>
          </w:tcPr>
          <w:p w14:paraId="5081E00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311" w:type="dxa"/>
            <w:tcBorders>
              <w:top w:val="single" w:sz="4" w:space="0" w:color="auto"/>
              <w:left w:val="single" w:sz="4" w:space="0" w:color="auto"/>
              <w:bottom w:val="single" w:sz="4" w:space="0" w:color="auto"/>
              <w:right w:val="single" w:sz="4" w:space="0" w:color="auto"/>
            </w:tcBorders>
          </w:tcPr>
          <w:p w14:paraId="217C0F3D"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Stressed </w:t>
            </w:r>
            <w:proofErr w:type="spellStart"/>
            <w:r w:rsidRPr="00DA7242">
              <w:rPr>
                <w:rFonts w:ascii="Arial" w:eastAsia="Times New Roman" w:hAnsi="Arial" w:cs="Arial"/>
                <w:b/>
                <w:sz w:val="20"/>
                <w:szCs w:val="20"/>
                <w:u w:val="single"/>
              </w:rPr>
              <w:t>VaR</w:t>
            </w:r>
            <w:proofErr w:type="spellEnd"/>
          </w:p>
          <w:p w14:paraId="2F614E7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It means the maximum potential loss that would result from a price change with a given probability over a specified time horizon obtained by using input calibrated to historical data from a continuous 12-months period of financial stress relevant to the institution's portfolio. Articles 364(1) point (b) (</w:t>
            </w:r>
            <w:proofErr w:type="spellStart"/>
            <w:r w:rsidRPr="00DA7242">
              <w:rPr>
                <w:rFonts w:ascii="Arial" w:eastAsia="Times New Roman" w:hAnsi="Arial" w:cs="Arial"/>
                <w:sz w:val="20"/>
                <w:szCs w:val="20"/>
              </w:rPr>
              <w:t>i</w:t>
            </w:r>
            <w:proofErr w:type="spellEnd"/>
            <w:r w:rsidRPr="00DA7242">
              <w:rPr>
                <w:rFonts w:ascii="Arial" w:eastAsia="Times New Roman" w:hAnsi="Arial" w:cs="Arial"/>
                <w:sz w:val="20"/>
                <w:szCs w:val="20"/>
              </w:rPr>
              <w:t>) and 365 (1) of CRR.</w:t>
            </w:r>
          </w:p>
          <w:p w14:paraId="430BBA4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C050</w:t>
            </w:r>
          </w:p>
        </w:tc>
      </w:tr>
      <w:tr w:rsidR="005F106D" w:rsidRPr="00DA7242" w14:paraId="23930CDB" w14:textId="77777777" w:rsidTr="0035689D">
        <w:tc>
          <w:tcPr>
            <w:tcW w:w="1436" w:type="dxa"/>
            <w:tcBorders>
              <w:top w:val="single" w:sz="4" w:space="0" w:color="auto"/>
              <w:left w:val="single" w:sz="4" w:space="0" w:color="auto"/>
              <w:bottom w:val="single" w:sz="4" w:space="0" w:color="auto"/>
              <w:right w:val="single" w:sz="4" w:space="0" w:color="auto"/>
            </w:tcBorders>
          </w:tcPr>
          <w:p w14:paraId="15F0032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311" w:type="dxa"/>
            <w:tcBorders>
              <w:top w:val="single" w:sz="4" w:space="0" w:color="auto"/>
              <w:left w:val="single" w:sz="4" w:space="0" w:color="auto"/>
              <w:bottom w:val="single" w:sz="4" w:space="0" w:color="auto"/>
              <w:right w:val="single" w:sz="4" w:space="0" w:color="auto"/>
            </w:tcBorders>
          </w:tcPr>
          <w:p w14:paraId="33B4BA9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Own funds requirements</w:t>
            </w:r>
          </w:p>
          <w:p w14:paraId="3767162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Referred to in Article 364 of CRR of all risk factors taking into account correlation effects, if applicable, plus incremental default and </w:t>
            </w:r>
            <w:proofErr w:type="gramStart"/>
            <w:r w:rsidRPr="00DA7242">
              <w:rPr>
                <w:rFonts w:ascii="Arial" w:eastAsia="Times New Roman" w:hAnsi="Arial" w:cs="Arial"/>
                <w:sz w:val="20"/>
                <w:szCs w:val="20"/>
              </w:rPr>
              <w:t>migration  risk</w:t>
            </w:r>
            <w:proofErr w:type="gramEnd"/>
            <w:r w:rsidRPr="00DA7242">
              <w:rPr>
                <w:rFonts w:ascii="Arial" w:eastAsia="Times New Roman" w:hAnsi="Arial" w:cs="Arial"/>
                <w:sz w:val="20"/>
                <w:szCs w:val="20"/>
              </w:rPr>
              <w:t xml:space="preserve"> and all price of risks for CTP but excluding the Securitization capital charges for Securitization and nth-to-default credit derivative according to Article 364(2) of CRR.</w:t>
            </w:r>
          </w:p>
          <w:p w14:paraId="08C90A0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C120</w:t>
            </w:r>
          </w:p>
        </w:tc>
      </w:tr>
      <w:tr w:rsidR="005F106D" w:rsidRPr="00DA7242" w14:paraId="7F064251" w14:textId="77777777" w:rsidTr="0035689D">
        <w:tc>
          <w:tcPr>
            <w:tcW w:w="1436" w:type="dxa"/>
            <w:tcBorders>
              <w:top w:val="single" w:sz="4" w:space="0" w:color="auto"/>
              <w:left w:val="single" w:sz="4" w:space="0" w:color="auto"/>
              <w:bottom w:val="single" w:sz="4" w:space="0" w:color="auto"/>
              <w:right w:val="single" w:sz="4" w:space="0" w:color="auto"/>
            </w:tcBorders>
          </w:tcPr>
          <w:p w14:paraId="5B6104A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311" w:type="dxa"/>
            <w:tcBorders>
              <w:top w:val="single" w:sz="4" w:space="0" w:color="auto"/>
              <w:left w:val="single" w:sz="4" w:space="0" w:color="auto"/>
              <w:bottom w:val="single" w:sz="4" w:space="0" w:color="auto"/>
              <w:right w:val="single" w:sz="4" w:space="0" w:color="auto"/>
            </w:tcBorders>
          </w:tcPr>
          <w:p w14:paraId="33FB4A8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Number of </w:t>
            </w:r>
            <w:proofErr w:type="spellStart"/>
            <w:r w:rsidRPr="00DA7242">
              <w:rPr>
                <w:rFonts w:ascii="Arial" w:eastAsia="Times New Roman" w:hAnsi="Arial" w:cs="Arial"/>
                <w:b/>
                <w:sz w:val="20"/>
                <w:szCs w:val="20"/>
                <w:u w:val="single"/>
              </w:rPr>
              <w:t>overshootings</w:t>
            </w:r>
            <w:proofErr w:type="spellEnd"/>
          </w:p>
          <w:p w14:paraId="4A665C0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366 of CRR.</w:t>
            </w:r>
          </w:p>
          <w:p w14:paraId="53E4791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C140</w:t>
            </w:r>
          </w:p>
        </w:tc>
      </w:tr>
      <w:tr w:rsidR="005F106D" w:rsidRPr="00DA7242" w14:paraId="514D442B" w14:textId="77777777" w:rsidTr="0035689D">
        <w:tc>
          <w:tcPr>
            <w:tcW w:w="1436" w:type="dxa"/>
            <w:tcBorders>
              <w:top w:val="single" w:sz="4" w:space="0" w:color="auto"/>
              <w:left w:val="single" w:sz="4" w:space="0" w:color="auto"/>
              <w:bottom w:val="single" w:sz="4" w:space="0" w:color="auto"/>
              <w:right w:val="single" w:sz="4" w:space="0" w:color="auto"/>
            </w:tcBorders>
          </w:tcPr>
          <w:p w14:paraId="2E2B0AE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311" w:type="dxa"/>
            <w:tcBorders>
              <w:top w:val="single" w:sz="4" w:space="0" w:color="auto"/>
              <w:left w:val="single" w:sz="4" w:space="0" w:color="auto"/>
              <w:bottom w:val="single" w:sz="4" w:space="0" w:color="auto"/>
              <w:right w:val="single" w:sz="4" w:space="0" w:color="auto"/>
            </w:tcBorders>
          </w:tcPr>
          <w:p w14:paraId="444DDB9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roofErr w:type="spellStart"/>
            <w:r w:rsidRPr="00DA7242">
              <w:rPr>
                <w:rFonts w:ascii="Arial" w:eastAsia="Times New Roman" w:hAnsi="Arial" w:cs="Arial"/>
                <w:b/>
                <w:sz w:val="20"/>
                <w:szCs w:val="20"/>
                <w:u w:val="single"/>
              </w:rPr>
              <w:t>VaR</w:t>
            </w:r>
            <w:proofErr w:type="spellEnd"/>
            <w:r w:rsidRPr="00DA7242">
              <w:rPr>
                <w:rFonts w:ascii="Arial" w:eastAsia="Times New Roman" w:hAnsi="Arial" w:cs="Arial"/>
                <w:b/>
                <w:sz w:val="20"/>
                <w:szCs w:val="20"/>
                <w:u w:val="single"/>
              </w:rPr>
              <w:t xml:space="preserve"> Multiplication Factor (mc) </w:t>
            </w:r>
          </w:p>
          <w:p w14:paraId="79ED247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366 of CRR.</w:t>
            </w:r>
          </w:p>
          <w:p w14:paraId="199DAEF2"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 xml:space="preserve">COREP C.24.00 C150 </w:t>
            </w:r>
          </w:p>
        </w:tc>
      </w:tr>
      <w:tr w:rsidR="005F106D" w:rsidRPr="00DA7242" w14:paraId="3ED5E5F7" w14:textId="77777777" w:rsidTr="0035689D">
        <w:tc>
          <w:tcPr>
            <w:tcW w:w="1436" w:type="dxa"/>
            <w:tcBorders>
              <w:top w:val="single" w:sz="4" w:space="0" w:color="auto"/>
              <w:left w:val="single" w:sz="4" w:space="0" w:color="auto"/>
              <w:bottom w:val="single" w:sz="4" w:space="0" w:color="auto"/>
              <w:right w:val="single" w:sz="4" w:space="0" w:color="auto"/>
            </w:tcBorders>
          </w:tcPr>
          <w:p w14:paraId="1C3CFFB0"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0060</w:t>
            </w:r>
          </w:p>
        </w:tc>
        <w:tc>
          <w:tcPr>
            <w:tcW w:w="8311" w:type="dxa"/>
            <w:tcBorders>
              <w:top w:val="single" w:sz="4" w:space="0" w:color="auto"/>
              <w:left w:val="single" w:sz="4" w:space="0" w:color="auto"/>
              <w:bottom w:val="single" w:sz="4" w:space="0" w:color="auto"/>
              <w:right w:val="single" w:sz="4" w:space="0" w:color="auto"/>
            </w:tcBorders>
          </w:tcPr>
          <w:p w14:paraId="6B29C32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roofErr w:type="spellStart"/>
            <w:r w:rsidRPr="00DA7242">
              <w:rPr>
                <w:rFonts w:ascii="Arial" w:eastAsia="Times New Roman" w:hAnsi="Arial" w:cs="Arial"/>
                <w:b/>
                <w:sz w:val="20"/>
                <w:szCs w:val="20"/>
                <w:u w:val="single"/>
              </w:rPr>
              <w:t>SVaR</w:t>
            </w:r>
            <w:proofErr w:type="spellEnd"/>
            <w:r w:rsidRPr="00DA7242">
              <w:rPr>
                <w:rFonts w:ascii="Arial" w:eastAsia="Times New Roman" w:hAnsi="Arial" w:cs="Arial"/>
                <w:b/>
                <w:sz w:val="20"/>
                <w:szCs w:val="20"/>
                <w:u w:val="single"/>
              </w:rPr>
              <w:t xml:space="preserve"> Multiplication Factor</w:t>
            </w:r>
          </w:p>
          <w:p w14:paraId="3C307C3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w:t>
            </w:r>
            <w:proofErr w:type="spellStart"/>
            <w:r w:rsidRPr="00DA7242">
              <w:rPr>
                <w:rFonts w:ascii="Arial" w:eastAsia="Times New Roman" w:hAnsi="Arial" w:cs="Arial"/>
                <w:b/>
                <w:sz w:val="20"/>
                <w:szCs w:val="20"/>
                <w:u w:val="single"/>
              </w:rPr>
              <w:t>ms</w:t>
            </w:r>
            <w:proofErr w:type="spellEnd"/>
            <w:r w:rsidRPr="00DA7242">
              <w:rPr>
                <w:rFonts w:ascii="Arial" w:eastAsia="Times New Roman" w:hAnsi="Arial" w:cs="Arial"/>
                <w:b/>
                <w:sz w:val="20"/>
                <w:szCs w:val="20"/>
                <w:u w:val="single"/>
              </w:rPr>
              <w:t>)</w:t>
            </w:r>
          </w:p>
          <w:p w14:paraId="2B19598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Article 366 of CRR.</w:t>
            </w:r>
          </w:p>
          <w:p w14:paraId="068BDE2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C160</w:t>
            </w:r>
          </w:p>
        </w:tc>
      </w:tr>
      <w:tr w:rsidR="005F106D" w:rsidRPr="00DA7242" w14:paraId="55D4DEFE" w14:textId="77777777" w:rsidTr="0035689D">
        <w:tc>
          <w:tcPr>
            <w:tcW w:w="1436" w:type="dxa"/>
            <w:tcBorders>
              <w:top w:val="single" w:sz="4" w:space="0" w:color="auto"/>
              <w:left w:val="single" w:sz="4" w:space="0" w:color="auto"/>
              <w:bottom w:val="single" w:sz="4" w:space="0" w:color="auto"/>
              <w:right w:val="single" w:sz="4" w:space="0" w:color="auto"/>
            </w:tcBorders>
          </w:tcPr>
          <w:p w14:paraId="2EE41B3C"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lastRenderedPageBreak/>
              <w:t>0070</w:t>
            </w:r>
          </w:p>
        </w:tc>
        <w:tc>
          <w:tcPr>
            <w:tcW w:w="8311" w:type="dxa"/>
            <w:tcBorders>
              <w:top w:val="single" w:sz="4" w:space="0" w:color="auto"/>
              <w:left w:val="single" w:sz="4" w:space="0" w:color="auto"/>
              <w:bottom w:val="single" w:sz="4" w:space="0" w:color="auto"/>
              <w:right w:val="single" w:sz="4" w:space="0" w:color="auto"/>
            </w:tcBorders>
          </w:tcPr>
          <w:p w14:paraId="7FF592D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 Risk Exposure Amount</w:t>
            </w:r>
          </w:p>
          <w:p w14:paraId="0B0FAF0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Risk exposure amount for position, foreign exchange and commodities risks under standardised approaches (SA).</w:t>
            </w:r>
          </w:p>
          <w:p w14:paraId="73BA86D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C02.00 C10</w:t>
            </w:r>
          </w:p>
        </w:tc>
      </w:tr>
      <w:tr w:rsidR="005F106D" w:rsidRPr="00DA7242" w14:paraId="433DF84C" w14:textId="77777777" w:rsidTr="0035689D">
        <w:tc>
          <w:tcPr>
            <w:tcW w:w="1436" w:type="dxa"/>
            <w:tcBorders>
              <w:top w:val="single" w:sz="4" w:space="0" w:color="auto"/>
              <w:left w:val="single" w:sz="4" w:space="0" w:color="auto"/>
              <w:bottom w:val="single" w:sz="4" w:space="0" w:color="auto"/>
              <w:right w:val="single" w:sz="4" w:space="0" w:color="auto"/>
            </w:tcBorders>
          </w:tcPr>
          <w:p w14:paraId="627BA949"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w:t>
            </w:r>
            <w:r w:rsidR="007730D3" w:rsidRPr="00DA7242">
              <w:rPr>
                <w:rFonts w:ascii="Arial" w:eastAsia="Times New Roman" w:hAnsi="Arial" w:cs="Arial"/>
                <w:sz w:val="20"/>
                <w:szCs w:val="20"/>
                <w:u w:val="single"/>
              </w:rPr>
              <w:t>8</w:t>
            </w:r>
            <w:r w:rsidRPr="00DA7242">
              <w:rPr>
                <w:rFonts w:ascii="Arial" w:eastAsia="Times New Roman" w:hAnsi="Arial" w:cs="Arial"/>
                <w:sz w:val="20"/>
                <w:szCs w:val="20"/>
                <w:u w:val="single"/>
              </w:rPr>
              <w:t>0</w:t>
            </w:r>
          </w:p>
        </w:tc>
        <w:tc>
          <w:tcPr>
            <w:tcW w:w="8311" w:type="dxa"/>
            <w:tcBorders>
              <w:top w:val="single" w:sz="4" w:space="0" w:color="auto"/>
              <w:left w:val="single" w:sz="4" w:space="0" w:color="auto"/>
              <w:bottom w:val="single" w:sz="4" w:space="0" w:color="auto"/>
              <w:right w:val="single" w:sz="4" w:space="0" w:color="auto"/>
            </w:tcBorders>
          </w:tcPr>
          <w:p w14:paraId="3D1A4EC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Amount</w:t>
            </w:r>
          </w:p>
          <w:p w14:paraId="354C17E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Indicate the result of the bank’s internal global market worst Stress test scenario</w:t>
            </w:r>
          </w:p>
        </w:tc>
      </w:tr>
      <w:tr w:rsidR="005F106D" w:rsidRPr="00DA7242" w14:paraId="479EE8F3" w14:textId="77777777" w:rsidTr="0035689D">
        <w:tc>
          <w:tcPr>
            <w:tcW w:w="1436" w:type="dxa"/>
            <w:tcBorders>
              <w:top w:val="single" w:sz="4" w:space="0" w:color="auto"/>
              <w:left w:val="single" w:sz="4" w:space="0" w:color="auto"/>
              <w:bottom w:val="single" w:sz="4" w:space="0" w:color="auto"/>
              <w:right w:val="single" w:sz="4" w:space="0" w:color="auto"/>
            </w:tcBorders>
          </w:tcPr>
          <w:p w14:paraId="3B6B4D5B"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w:t>
            </w:r>
            <w:r w:rsidR="007730D3" w:rsidRPr="00DA7242">
              <w:rPr>
                <w:rFonts w:ascii="Arial" w:eastAsia="Times New Roman" w:hAnsi="Arial" w:cs="Arial"/>
                <w:sz w:val="20"/>
                <w:szCs w:val="20"/>
                <w:u w:val="single"/>
              </w:rPr>
              <w:t>9</w:t>
            </w:r>
            <w:r w:rsidRPr="00DA7242">
              <w:rPr>
                <w:rFonts w:ascii="Arial" w:eastAsia="Times New Roman" w:hAnsi="Arial" w:cs="Arial"/>
                <w:sz w:val="20"/>
                <w:szCs w:val="20"/>
                <w:u w:val="single"/>
              </w:rPr>
              <w:t>0</w:t>
            </w:r>
          </w:p>
        </w:tc>
        <w:tc>
          <w:tcPr>
            <w:tcW w:w="8311" w:type="dxa"/>
            <w:tcBorders>
              <w:top w:val="single" w:sz="4" w:space="0" w:color="auto"/>
              <w:left w:val="single" w:sz="4" w:space="0" w:color="auto"/>
              <w:bottom w:val="single" w:sz="4" w:space="0" w:color="auto"/>
              <w:right w:val="single" w:sz="4" w:space="0" w:color="auto"/>
            </w:tcBorders>
          </w:tcPr>
          <w:p w14:paraId="1E837C6B" w14:textId="77777777" w:rsidR="005F106D" w:rsidRPr="00DA7242" w:rsidRDefault="007730D3"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Description</w:t>
            </w:r>
          </w:p>
          <w:p w14:paraId="3548DEFA" w14:textId="77777777" w:rsidR="005F106D" w:rsidRPr="00DA7242" w:rsidRDefault="005F106D" w:rsidP="00994C51">
            <w:pPr>
              <w:spacing w:before="120" w:after="120" w:line="240" w:lineRule="auto"/>
              <w:jc w:val="both"/>
              <w:rPr>
                <w:rFonts w:ascii="Arial" w:eastAsia="Times New Roman" w:hAnsi="Arial" w:cs="Arial"/>
                <w:sz w:val="20"/>
                <w:szCs w:val="20"/>
                <w:highlight w:val="yellow"/>
              </w:rPr>
            </w:pPr>
            <w:r w:rsidRPr="00DA7242">
              <w:rPr>
                <w:rFonts w:ascii="Arial" w:eastAsia="Times New Roman" w:hAnsi="Arial" w:cs="Arial"/>
                <w:sz w:val="20"/>
                <w:szCs w:val="20"/>
              </w:rPr>
              <w:t xml:space="preserve">Include the name of the internal worst global market stress test scenario, including a description of underlying main assumptions and computation reference date </w:t>
            </w:r>
          </w:p>
        </w:tc>
      </w:tr>
      <w:tr w:rsidR="005F106D" w:rsidRPr="00DA7242" w14:paraId="52FFB938" w14:textId="77777777" w:rsidTr="0035689D">
        <w:tc>
          <w:tcPr>
            <w:tcW w:w="1436" w:type="dxa"/>
            <w:tcBorders>
              <w:top w:val="single" w:sz="4" w:space="0" w:color="auto"/>
              <w:left w:val="single" w:sz="4" w:space="0" w:color="auto"/>
              <w:bottom w:val="single" w:sz="4" w:space="0" w:color="auto"/>
              <w:right w:val="single" w:sz="4" w:space="0" w:color="auto"/>
            </w:tcBorders>
          </w:tcPr>
          <w:p w14:paraId="365B7ABC" w14:textId="77777777" w:rsidR="005F106D" w:rsidRPr="00DA7242" w:rsidRDefault="00A2795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010</w:t>
            </w:r>
            <w:r w:rsidR="005F106D" w:rsidRPr="00DA7242">
              <w:rPr>
                <w:rFonts w:ascii="Arial" w:eastAsia="Times New Roman" w:hAnsi="Arial" w:cs="Arial"/>
                <w:sz w:val="20"/>
                <w:szCs w:val="20"/>
                <w:u w:val="single"/>
              </w:rPr>
              <w:t>0</w:t>
            </w:r>
          </w:p>
        </w:tc>
        <w:tc>
          <w:tcPr>
            <w:tcW w:w="8311" w:type="dxa"/>
            <w:tcBorders>
              <w:top w:val="single" w:sz="4" w:space="0" w:color="auto"/>
              <w:left w:val="single" w:sz="4" w:space="0" w:color="auto"/>
              <w:bottom w:val="single" w:sz="4" w:space="0" w:color="auto"/>
              <w:right w:val="single" w:sz="4" w:space="0" w:color="auto"/>
            </w:tcBorders>
          </w:tcPr>
          <w:p w14:paraId="6E804A9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Metric (</w:t>
            </w:r>
            <w:proofErr w:type="spellStart"/>
            <w:r w:rsidRPr="00DA7242">
              <w:rPr>
                <w:rFonts w:ascii="Arial" w:eastAsia="Times New Roman" w:hAnsi="Arial" w:cs="Arial"/>
                <w:b/>
                <w:sz w:val="20"/>
                <w:szCs w:val="20"/>
                <w:u w:val="single"/>
              </w:rPr>
              <w:t>PnL</w:t>
            </w:r>
            <w:proofErr w:type="spellEnd"/>
            <w:r w:rsidRPr="00DA7242">
              <w:rPr>
                <w:rFonts w:ascii="Arial" w:eastAsia="Times New Roman" w:hAnsi="Arial" w:cs="Arial"/>
                <w:b/>
                <w:sz w:val="20"/>
                <w:szCs w:val="20"/>
                <w:u w:val="single"/>
              </w:rPr>
              <w:t>, MR RWA, EC, Other)</w:t>
            </w:r>
          </w:p>
          <w:p w14:paraId="4AB9BFC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Indicate the metric of the internal global market worst Stress test scenario using the drop-down menu</w:t>
            </w:r>
          </w:p>
        </w:tc>
      </w:tr>
    </w:tbl>
    <w:p w14:paraId="37717774"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6D1C0F13"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7007C61"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08B0438C"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2E9A0789" w14:textId="77777777" w:rsidTr="0035689D">
        <w:tc>
          <w:tcPr>
            <w:tcW w:w="1188" w:type="dxa"/>
            <w:tcBorders>
              <w:top w:val="single" w:sz="4" w:space="0" w:color="auto"/>
              <w:left w:val="single" w:sz="4" w:space="0" w:color="auto"/>
              <w:bottom w:val="single" w:sz="4" w:space="0" w:color="auto"/>
              <w:right w:val="single" w:sz="4" w:space="0" w:color="auto"/>
            </w:tcBorders>
          </w:tcPr>
          <w:p w14:paraId="687B351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59B1012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 Positions</w:t>
            </w:r>
          </w:p>
          <w:p w14:paraId="768740A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Corresponds to the part of position, foreign exchange and commodities risk referred to in Article 363(1) of CRR linked to the risk factors specified in Article 367(2) of CRR.</w:t>
            </w:r>
          </w:p>
          <w:p w14:paraId="3DC7A1E1"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R010</w:t>
            </w:r>
          </w:p>
        </w:tc>
      </w:tr>
      <w:tr w:rsidR="005F106D" w:rsidRPr="00DA7242" w14:paraId="1288F9F7" w14:textId="77777777" w:rsidTr="0035689D">
        <w:tc>
          <w:tcPr>
            <w:tcW w:w="1188" w:type="dxa"/>
            <w:tcBorders>
              <w:top w:val="single" w:sz="4" w:space="0" w:color="auto"/>
              <w:left w:val="single" w:sz="4" w:space="0" w:color="auto"/>
              <w:bottom w:val="single" w:sz="4" w:space="0" w:color="auto"/>
              <w:right w:val="single" w:sz="4" w:space="0" w:color="auto"/>
            </w:tcBorders>
          </w:tcPr>
          <w:p w14:paraId="661FE19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701E615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Traded debt instruments</w:t>
            </w:r>
          </w:p>
          <w:p w14:paraId="5889B16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Corresponds to the part of position risk referred to in 363 (1) of CRR linked to the interest rates risk factors as specified in Article 367(2) of the CRR.</w:t>
            </w:r>
          </w:p>
          <w:p w14:paraId="3568ACFE"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R020</w:t>
            </w:r>
          </w:p>
          <w:p w14:paraId="0BC1528F"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In the case of column 0070, Risk Exposure amount refers to  COREP C02.00 r540</w:t>
            </w:r>
          </w:p>
        </w:tc>
      </w:tr>
      <w:tr w:rsidR="005F106D" w:rsidRPr="00DA7242" w14:paraId="2196A8C4" w14:textId="77777777" w:rsidTr="0035689D">
        <w:tc>
          <w:tcPr>
            <w:tcW w:w="1188" w:type="dxa"/>
            <w:tcBorders>
              <w:top w:val="single" w:sz="4" w:space="0" w:color="auto"/>
              <w:left w:val="single" w:sz="4" w:space="0" w:color="auto"/>
              <w:bottom w:val="single" w:sz="4" w:space="0" w:color="auto"/>
              <w:right w:val="single" w:sz="4" w:space="0" w:color="auto"/>
            </w:tcBorders>
          </w:tcPr>
          <w:p w14:paraId="2BEA2D2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51D41D3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TDI - General risk</w:t>
            </w:r>
          </w:p>
          <w:p w14:paraId="5172C41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Corresponds to the part of position risk referred to in 363 (1) of CRR linked to the interest rates risk factors as specified in Article 367(2) of CRR.</w:t>
            </w:r>
          </w:p>
          <w:p w14:paraId="3AD89346"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R030</w:t>
            </w:r>
          </w:p>
        </w:tc>
      </w:tr>
      <w:tr w:rsidR="005F106D" w:rsidRPr="00DA7242" w14:paraId="56E5C4BC" w14:textId="77777777" w:rsidTr="0035689D">
        <w:tc>
          <w:tcPr>
            <w:tcW w:w="1188" w:type="dxa"/>
            <w:tcBorders>
              <w:top w:val="single" w:sz="4" w:space="0" w:color="auto"/>
              <w:left w:val="single" w:sz="4" w:space="0" w:color="auto"/>
              <w:bottom w:val="single" w:sz="4" w:space="0" w:color="auto"/>
              <w:right w:val="single" w:sz="4" w:space="0" w:color="auto"/>
            </w:tcBorders>
          </w:tcPr>
          <w:p w14:paraId="2BD533D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2D332B6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TDI - Specific risk</w:t>
            </w:r>
          </w:p>
          <w:p w14:paraId="1F15F0C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Corresponds to the part of position risk referred to in 363 (1) of CRR linked to the interest rates risk factors as specified in Article 367(2) of CRR.</w:t>
            </w:r>
          </w:p>
          <w:p w14:paraId="27C1F52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R040</w:t>
            </w:r>
          </w:p>
        </w:tc>
      </w:tr>
      <w:tr w:rsidR="005F106D" w:rsidRPr="00DA7242" w14:paraId="4C161823" w14:textId="77777777" w:rsidTr="0035689D">
        <w:tc>
          <w:tcPr>
            <w:tcW w:w="1188" w:type="dxa"/>
            <w:tcBorders>
              <w:top w:val="single" w:sz="4" w:space="0" w:color="auto"/>
              <w:left w:val="single" w:sz="4" w:space="0" w:color="auto"/>
              <w:bottom w:val="single" w:sz="4" w:space="0" w:color="auto"/>
              <w:right w:val="single" w:sz="4" w:space="0" w:color="auto"/>
            </w:tcBorders>
          </w:tcPr>
          <w:p w14:paraId="47B940A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28F2372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Equities</w:t>
            </w:r>
          </w:p>
          <w:p w14:paraId="6F3A05D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Corresponds to the part of position risk referred to in 363 (1) of CRR linked to the equity risk factors as specified in Article 367(2) of CRR.</w:t>
            </w:r>
          </w:p>
          <w:p w14:paraId="1FFEF7ED"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R050</w:t>
            </w:r>
          </w:p>
          <w:p w14:paraId="137A0B7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In the case of column 0070, Risk Exposure amount refer to  COREP C02.00 r550</w:t>
            </w:r>
          </w:p>
        </w:tc>
      </w:tr>
      <w:tr w:rsidR="005F106D" w:rsidRPr="00DA7242" w14:paraId="711B5BE1" w14:textId="77777777" w:rsidTr="0035689D">
        <w:tc>
          <w:tcPr>
            <w:tcW w:w="1188" w:type="dxa"/>
            <w:tcBorders>
              <w:top w:val="single" w:sz="4" w:space="0" w:color="auto"/>
              <w:left w:val="single" w:sz="4" w:space="0" w:color="auto"/>
              <w:bottom w:val="single" w:sz="4" w:space="0" w:color="auto"/>
              <w:right w:val="single" w:sz="4" w:space="0" w:color="auto"/>
            </w:tcBorders>
          </w:tcPr>
          <w:p w14:paraId="06A8DCF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0060</w:t>
            </w:r>
          </w:p>
        </w:tc>
        <w:tc>
          <w:tcPr>
            <w:tcW w:w="8559" w:type="dxa"/>
            <w:tcBorders>
              <w:top w:val="single" w:sz="4" w:space="0" w:color="auto"/>
              <w:left w:val="single" w:sz="4" w:space="0" w:color="auto"/>
              <w:bottom w:val="single" w:sz="4" w:space="0" w:color="auto"/>
              <w:right w:val="single" w:sz="4" w:space="0" w:color="auto"/>
            </w:tcBorders>
          </w:tcPr>
          <w:p w14:paraId="1732D3C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Equities - General risk</w:t>
            </w:r>
          </w:p>
          <w:p w14:paraId="13F3CC3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General risk defined in Article 362 of CRR.</w:t>
            </w:r>
          </w:p>
          <w:p w14:paraId="0AEE4009"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R060</w:t>
            </w:r>
          </w:p>
        </w:tc>
      </w:tr>
      <w:tr w:rsidR="005F106D" w:rsidRPr="00DA7242" w14:paraId="698110ED" w14:textId="77777777" w:rsidTr="0035689D">
        <w:tc>
          <w:tcPr>
            <w:tcW w:w="1188" w:type="dxa"/>
            <w:tcBorders>
              <w:top w:val="single" w:sz="4" w:space="0" w:color="auto"/>
              <w:left w:val="single" w:sz="4" w:space="0" w:color="auto"/>
              <w:bottom w:val="single" w:sz="4" w:space="0" w:color="auto"/>
              <w:right w:val="single" w:sz="4" w:space="0" w:color="auto"/>
            </w:tcBorders>
          </w:tcPr>
          <w:p w14:paraId="41A0B2E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4CFD5FC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Equities - Specific risk</w:t>
            </w:r>
          </w:p>
          <w:p w14:paraId="2F4F3C4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Specific risk defined in Article 362 of CRR.</w:t>
            </w:r>
          </w:p>
          <w:p w14:paraId="0DC8C02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R070</w:t>
            </w:r>
          </w:p>
        </w:tc>
      </w:tr>
      <w:tr w:rsidR="005F106D" w:rsidRPr="00DA7242" w14:paraId="67F5D20B" w14:textId="77777777" w:rsidTr="0035689D">
        <w:tc>
          <w:tcPr>
            <w:tcW w:w="1188" w:type="dxa"/>
            <w:tcBorders>
              <w:top w:val="single" w:sz="4" w:space="0" w:color="auto"/>
              <w:left w:val="single" w:sz="4" w:space="0" w:color="auto"/>
              <w:bottom w:val="single" w:sz="4" w:space="0" w:color="auto"/>
              <w:right w:val="single" w:sz="4" w:space="0" w:color="auto"/>
            </w:tcBorders>
          </w:tcPr>
          <w:p w14:paraId="1773561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0080</w:t>
            </w:r>
          </w:p>
        </w:tc>
        <w:tc>
          <w:tcPr>
            <w:tcW w:w="8559" w:type="dxa"/>
            <w:tcBorders>
              <w:top w:val="single" w:sz="4" w:space="0" w:color="auto"/>
              <w:left w:val="single" w:sz="4" w:space="0" w:color="auto"/>
              <w:bottom w:val="single" w:sz="4" w:space="0" w:color="auto"/>
              <w:right w:val="single" w:sz="4" w:space="0" w:color="auto"/>
            </w:tcBorders>
          </w:tcPr>
          <w:p w14:paraId="3EBADC8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Foreign Exchange risk</w:t>
            </w:r>
          </w:p>
          <w:p w14:paraId="21AB83B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Articles 363(1) and 367 (2) of CRR.</w:t>
            </w:r>
          </w:p>
          <w:p w14:paraId="4BE88DF8"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R080</w:t>
            </w:r>
          </w:p>
          <w:p w14:paraId="339B4D6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In the case of column 0070, Risk Exposure amount refers to  COREP C02.00 r560</w:t>
            </w:r>
          </w:p>
        </w:tc>
      </w:tr>
      <w:tr w:rsidR="005F106D" w:rsidRPr="00DA7242" w14:paraId="3D72892B" w14:textId="77777777" w:rsidTr="0035689D">
        <w:tc>
          <w:tcPr>
            <w:tcW w:w="1188" w:type="dxa"/>
            <w:tcBorders>
              <w:top w:val="single" w:sz="4" w:space="0" w:color="auto"/>
              <w:left w:val="single" w:sz="4" w:space="0" w:color="auto"/>
              <w:bottom w:val="single" w:sz="4" w:space="0" w:color="auto"/>
              <w:right w:val="single" w:sz="4" w:space="0" w:color="auto"/>
            </w:tcBorders>
          </w:tcPr>
          <w:p w14:paraId="5C87D77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0090</w:t>
            </w:r>
          </w:p>
        </w:tc>
        <w:tc>
          <w:tcPr>
            <w:tcW w:w="8559" w:type="dxa"/>
            <w:tcBorders>
              <w:top w:val="single" w:sz="4" w:space="0" w:color="auto"/>
              <w:left w:val="single" w:sz="4" w:space="0" w:color="auto"/>
              <w:bottom w:val="single" w:sz="4" w:space="0" w:color="auto"/>
              <w:right w:val="single" w:sz="4" w:space="0" w:color="auto"/>
            </w:tcBorders>
          </w:tcPr>
          <w:p w14:paraId="626210E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Commodities risk</w:t>
            </w:r>
          </w:p>
          <w:p w14:paraId="672E4BF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Articles 363(1) and 367 (2) of CRR.</w:t>
            </w:r>
          </w:p>
          <w:p w14:paraId="762661AE"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R090</w:t>
            </w:r>
          </w:p>
          <w:p w14:paraId="397E4D9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In the case of column 0070, Risk Exposure amount refers to COREP C02.00 r570</w:t>
            </w:r>
          </w:p>
        </w:tc>
      </w:tr>
      <w:tr w:rsidR="005F106D" w:rsidRPr="00DA7242" w14:paraId="33DC07EF" w14:textId="77777777" w:rsidTr="0035689D">
        <w:tc>
          <w:tcPr>
            <w:tcW w:w="1188" w:type="dxa"/>
            <w:tcBorders>
              <w:top w:val="single" w:sz="4" w:space="0" w:color="auto"/>
              <w:left w:val="single" w:sz="4" w:space="0" w:color="auto"/>
              <w:bottom w:val="single" w:sz="4" w:space="0" w:color="auto"/>
              <w:right w:val="single" w:sz="4" w:space="0" w:color="auto"/>
            </w:tcBorders>
          </w:tcPr>
          <w:p w14:paraId="6E051A2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0100</w:t>
            </w:r>
          </w:p>
        </w:tc>
        <w:tc>
          <w:tcPr>
            <w:tcW w:w="8559" w:type="dxa"/>
            <w:tcBorders>
              <w:top w:val="single" w:sz="4" w:space="0" w:color="auto"/>
              <w:left w:val="single" w:sz="4" w:space="0" w:color="auto"/>
              <w:bottom w:val="single" w:sz="4" w:space="0" w:color="auto"/>
              <w:right w:val="single" w:sz="4" w:space="0" w:color="auto"/>
            </w:tcBorders>
          </w:tcPr>
          <w:p w14:paraId="54C81FD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Bank internal worst global market Stress test scenario</w:t>
            </w:r>
          </w:p>
          <w:p w14:paraId="1C7AF37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Include all requested information (columns 0080 to 0100) related to internal worst global market stress test scenario used internally for risk monitoring purposes, if any available at the reporting date (computation date no more than 1 month out-of-date)</w:t>
            </w:r>
          </w:p>
        </w:tc>
      </w:tr>
    </w:tbl>
    <w:p w14:paraId="1B292987" w14:textId="77777777" w:rsidR="005F106D" w:rsidRPr="00DA7242" w:rsidRDefault="005F106D" w:rsidP="005F106D">
      <w:pPr>
        <w:jc w:val="both"/>
        <w:rPr>
          <w:rFonts w:ascii="Arial" w:hAnsi="Arial" w:cs="Arial"/>
          <w:sz w:val="20"/>
          <w:szCs w:val="20"/>
        </w:rPr>
      </w:pPr>
    </w:p>
    <w:p w14:paraId="152AE162" w14:textId="6D0F25DF"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i/>
          <w:sz w:val="20"/>
          <w:szCs w:val="20"/>
        </w:rPr>
      </w:pPr>
      <w:r w:rsidRPr="00DA7242">
        <w:rPr>
          <w:rFonts w:ascii="Arial" w:hAnsi="Arial" w:cs="Arial"/>
          <w:b/>
          <w:sz w:val="20"/>
          <w:szCs w:val="20"/>
        </w:rPr>
        <w:t xml:space="preserve">Table 2: Market </w:t>
      </w:r>
      <w:r w:rsidR="00BD7615" w:rsidRPr="00DA7242">
        <w:rPr>
          <w:rFonts w:ascii="Arial" w:hAnsi="Arial" w:cs="Arial"/>
          <w:b/>
          <w:sz w:val="20"/>
          <w:szCs w:val="20"/>
        </w:rPr>
        <w:t>s</w:t>
      </w:r>
      <w:r w:rsidRPr="00DA7242">
        <w:rPr>
          <w:rFonts w:ascii="Arial" w:hAnsi="Arial" w:cs="Arial"/>
          <w:b/>
          <w:sz w:val="20"/>
          <w:szCs w:val="20"/>
        </w:rPr>
        <w:t>ensitivities</w:t>
      </w:r>
      <w:r w:rsidRPr="00DA7242">
        <w:rPr>
          <w:rFonts w:ascii="Arial" w:hAnsi="Arial" w:cs="Arial"/>
          <w:b/>
          <w:i/>
          <w:sz w:val="20"/>
          <w:szCs w:val="20"/>
        </w:rPr>
        <w:t xml:space="preserve"> </w:t>
      </w:r>
      <w:r w:rsidR="0048044D" w:rsidRPr="00DA7242">
        <w:rPr>
          <w:rFonts w:ascii="Arial" w:hAnsi="Arial" w:cs="Arial"/>
          <w:i/>
          <w:sz w:val="20"/>
          <w:szCs w:val="20"/>
        </w:rPr>
        <w:t>- Month-end</w:t>
      </w:r>
      <w:r w:rsidRPr="00DA7242">
        <w:rPr>
          <w:rFonts w:ascii="Arial" w:hAnsi="Arial" w:cs="Arial"/>
          <w:i/>
          <w:sz w:val="20"/>
          <w:szCs w:val="20"/>
        </w:rPr>
        <w:t xml:space="preserve"> </w:t>
      </w:r>
    </w:p>
    <w:p w14:paraId="29152F11"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This data request addresses all institutions on a ‘best effort basis’, irrespective of how capital requirements are calculated and reported (internal or standardized model). ‘Best effort basis’ means that banks are expected to fill the template based on the sensitivity calculation processes that they already have in place, but ensuring that their input is consistent, in terms of definition of sensitivities and mapping of risk factors, with the present instructions. </w:t>
      </w:r>
    </w:p>
    <w:p w14:paraId="54D4A10D" w14:textId="400EE36E" w:rsidR="00A66635" w:rsidRDefault="005F106D" w:rsidP="005F106D">
      <w:pPr>
        <w:jc w:val="both"/>
        <w:rPr>
          <w:rFonts w:ascii="Arial" w:hAnsi="Arial" w:cs="Arial"/>
          <w:sz w:val="20"/>
          <w:szCs w:val="20"/>
        </w:rPr>
      </w:pPr>
      <w:r w:rsidRPr="00DA7242">
        <w:rPr>
          <w:rFonts w:ascii="Arial" w:hAnsi="Arial" w:cs="Arial"/>
          <w:sz w:val="20"/>
          <w:szCs w:val="20"/>
        </w:rPr>
        <w:t xml:space="preserve">As a general comment, market sensitivities table is based on the STE SREP template, with some minor modifications. </w:t>
      </w:r>
      <w:r w:rsidR="00CE7410">
        <w:rPr>
          <w:rFonts w:ascii="Arial" w:hAnsi="Arial" w:cs="Arial"/>
          <w:sz w:val="20"/>
          <w:szCs w:val="20"/>
        </w:rPr>
        <w:t>F</w:t>
      </w:r>
      <w:r w:rsidRPr="00DA7242">
        <w:rPr>
          <w:rFonts w:ascii="Arial" w:hAnsi="Arial" w:cs="Arial"/>
          <w:sz w:val="20"/>
          <w:szCs w:val="20"/>
        </w:rPr>
        <w:t>or the sake of simplicity, it represents a reduced version of the table included in the STE SREP template, with some dimensions removed (i.e. sensitivities to IR and Credit Spread are not disentangled by tenor, and the geographical split is less granular in some cases</w:t>
      </w:r>
      <w:r w:rsidRPr="00DD131D">
        <w:rPr>
          <w:rFonts w:ascii="Arial" w:hAnsi="Arial" w:cs="Arial"/>
          <w:sz w:val="20"/>
          <w:szCs w:val="20"/>
        </w:rPr>
        <w:t xml:space="preserve">). </w:t>
      </w:r>
      <w:r w:rsidRPr="00921646">
        <w:rPr>
          <w:rFonts w:ascii="Arial" w:hAnsi="Arial" w:cs="Arial"/>
          <w:sz w:val="20"/>
          <w:szCs w:val="20"/>
        </w:rPr>
        <w:t>In such cases, the figures to be reported in this table would be the sum of the values that would be reported for the STE template (i.e. EUR IR sensitivity would be the sum of EUR IR sensitivities to the different tenors as specified in STE template). On the other hand, a</w:t>
      </w:r>
      <w:r w:rsidR="00DD131D">
        <w:rPr>
          <w:rFonts w:ascii="Arial" w:hAnsi="Arial" w:cs="Arial"/>
          <w:sz w:val="20"/>
          <w:szCs w:val="20"/>
        </w:rPr>
        <w:t xml:space="preserve"> </w:t>
      </w:r>
      <w:r w:rsidRPr="00DA7242">
        <w:rPr>
          <w:rFonts w:ascii="Arial" w:hAnsi="Arial" w:cs="Arial"/>
          <w:sz w:val="20"/>
          <w:szCs w:val="20"/>
        </w:rPr>
        <w:t>new column has been added to isolate the sensitivities of the banking book positions meas</w:t>
      </w:r>
      <w:r w:rsidR="00A66635">
        <w:rPr>
          <w:rFonts w:ascii="Arial" w:hAnsi="Arial" w:cs="Arial"/>
          <w:sz w:val="20"/>
          <w:szCs w:val="20"/>
        </w:rPr>
        <w:t>ured at fair value through OCI.</w:t>
      </w:r>
    </w:p>
    <w:p w14:paraId="2A083AB6" w14:textId="762DC3C1" w:rsidR="005F106D" w:rsidRDefault="005F106D" w:rsidP="005F106D">
      <w:pPr>
        <w:jc w:val="both"/>
        <w:rPr>
          <w:rFonts w:ascii="Arial" w:hAnsi="Arial" w:cs="Arial"/>
          <w:sz w:val="20"/>
          <w:szCs w:val="20"/>
        </w:rPr>
      </w:pPr>
      <w:r w:rsidRPr="00DA7242">
        <w:rPr>
          <w:rFonts w:ascii="Arial" w:hAnsi="Arial" w:cs="Arial"/>
          <w:sz w:val="20"/>
          <w:szCs w:val="20"/>
        </w:rPr>
        <w:t xml:space="preserve">For the purpose of this data collection, the Banking Book (BB) perimeter should include all financial instruments measured at fair value (i.e. FVOCI, FVPL Mandatory </w:t>
      </w:r>
      <w:r w:rsidR="00091224" w:rsidRPr="00DA7242">
        <w:rPr>
          <w:rFonts w:ascii="Arial" w:hAnsi="Arial" w:cs="Arial"/>
          <w:sz w:val="20"/>
          <w:szCs w:val="20"/>
        </w:rPr>
        <w:t xml:space="preserve">and </w:t>
      </w:r>
      <w:r w:rsidRPr="00DA7242">
        <w:rPr>
          <w:rFonts w:ascii="Arial" w:hAnsi="Arial" w:cs="Arial"/>
          <w:sz w:val="20"/>
          <w:szCs w:val="20"/>
        </w:rPr>
        <w:t>FVPL Option) which are not accounted for in the Trading Book. Therefore, as an example, sensitivities regarding items booked in the Fair Value Through Other Comprehensive Income (FVOCI) portfolio are expected to be reported under the Banking Book column, as they are accounted for at fair value while sensitivities regarding items measured at amortizing cost (i.e. HTC portfolio) are not expected to be included in Table 2 of the template.</w:t>
      </w:r>
    </w:p>
    <w:p w14:paraId="53554A82" w14:textId="11BA687B" w:rsidR="00382745" w:rsidRPr="002374DD" w:rsidRDefault="00382745" w:rsidP="00382745">
      <w:pPr>
        <w:jc w:val="both"/>
        <w:rPr>
          <w:rFonts w:ascii="Arial" w:hAnsi="Arial" w:cs="Arial"/>
          <w:sz w:val="20"/>
          <w:szCs w:val="20"/>
        </w:rPr>
      </w:pPr>
      <w:r w:rsidRPr="002374DD">
        <w:rPr>
          <w:rFonts w:ascii="Arial" w:hAnsi="Arial" w:cs="Arial"/>
          <w:sz w:val="20"/>
          <w:szCs w:val="20"/>
        </w:rPr>
        <w:lastRenderedPageBreak/>
        <w:t>For the purpose of the COVID19 reporting the treatment of positions in the banking book subject to hedge accounting shall be consistent with the approach applied by banks for the existing quarterly STE SREP reporting. As indicated in the STE SREP instruction, STE SREP data points shall be reported on a best effort basis and include all fair value instruments (hedged and hedging instruments). Similarly, positions in other portfolios should be taken into account as far as a fair value is calculated by the institution for risk management or for accounting purposes.</w:t>
      </w:r>
    </w:p>
    <w:p w14:paraId="2199B4A5" w14:textId="77777777" w:rsidR="00305BFC" w:rsidRDefault="00382745" w:rsidP="005F106D">
      <w:pPr>
        <w:jc w:val="both"/>
        <w:rPr>
          <w:rFonts w:ascii="Arial" w:hAnsi="Arial" w:cs="Arial"/>
          <w:sz w:val="20"/>
          <w:szCs w:val="20"/>
        </w:rPr>
      </w:pPr>
      <w:r w:rsidRPr="002374DD">
        <w:rPr>
          <w:rFonts w:ascii="Arial" w:hAnsi="Arial" w:cs="Arial"/>
          <w:sz w:val="20"/>
          <w:szCs w:val="20"/>
        </w:rPr>
        <w:t xml:space="preserve">The treatment of FX positions shall also be consistent with the approach applied by banks for the existing quarterly STE SREP reporting. </w:t>
      </w:r>
      <w:r w:rsidR="001A7C08" w:rsidRPr="002374DD">
        <w:rPr>
          <w:rFonts w:ascii="Arial" w:hAnsi="Arial" w:cs="Arial"/>
          <w:sz w:val="20"/>
          <w:szCs w:val="20"/>
        </w:rPr>
        <w:t xml:space="preserve">As regard the treatment of </w:t>
      </w:r>
      <w:r w:rsidRPr="002374DD">
        <w:rPr>
          <w:rFonts w:ascii="Arial" w:hAnsi="Arial" w:cs="Arial"/>
          <w:sz w:val="20"/>
          <w:szCs w:val="20"/>
        </w:rPr>
        <w:t xml:space="preserve">Structural FX position </w:t>
      </w:r>
      <w:r w:rsidR="001A7C08" w:rsidRPr="002374DD">
        <w:rPr>
          <w:rFonts w:ascii="Arial" w:hAnsi="Arial" w:cs="Arial"/>
          <w:sz w:val="20"/>
          <w:szCs w:val="20"/>
        </w:rPr>
        <w:t xml:space="preserve">specifically, exclusion of structural FX position </w:t>
      </w:r>
      <w:r w:rsidRPr="002374DD">
        <w:rPr>
          <w:rFonts w:ascii="Arial" w:hAnsi="Arial" w:cs="Arial"/>
          <w:sz w:val="20"/>
          <w:szCs w:val="20"/>
        </w:rPr>
        <w:t>is a regulatory exclusion, when in the Market risk STE we want to capture the full positions at the fair value, regardless of the treatment in Pillar 1.</w:t>
      </w:r>
    </w:p>
    <w:p w14:paraId="18C1248C" w14:textId="20B3F203"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Only Delta exposures are </w:t>
      </w:r>
      <w:r w:rsidR="000B42A0" w:rsidRPr="00DA7242">
        <w:rPr>
          <w:rFonts w:ascii="Arial" w:hAnsi="Arial" w:cs="Arial"/>
          <w:sz w:val="20"/>
          <w:szCs w:val="20"/>
        </w:rPr>
        <w:t xml:space="preserve">expected </w:t>
      </w:r>
      <w:r w:rsidRPr="00DA7242">
        <w:rPr>
          <w:rFonts w:ascii="Arial" w:hAnsi="Arial" w:cs="Arial"/>
          <w:sz w:val="20"/>
          <w:szCs w:val="20"/>
        </w:rPr>
        <w:t>with regard to the Banking Book perimeter.</w:t>
      </w:r>
    </w:p>
    <w:p w14:paraId="44A3CCD3" w14:textId="792CCBCD"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As a general rule, all </w:t>
      </w:r>
      <w:r w:rsidR="000B42A0" w:rsidRPr="00DA7242">
        <w:rPr>
          <w:rFonts w:ascii="Arial" w:hAnsi="Arial" w:cs="Arial"/>
          <w:sz w:val="20"/>
          <w:szCs w:val="20"/>
        </w:rPr>
        <w:t xml:space="preserve">cells are expected to </w:t>
      </w:r>
      <w:r w:rsidRPr="00DA7242">
        <w:rPr>
          <w:rFonts w:ascii="Arial" w:hAnsi="Arial" w:cs="Arial"/>
          <w:sz w:val="20"/>
          <w:szCs w:val="20"/>
        </w:rPr>
        <w:t>be filled. If risk figures are not determined because underlying risks are immaterial, please fill in the cells with these low values or insert a 0 (zero) in the cell. If a cell is left blank, the data will be considered as missing and this uncertainty may lead to follow-up data requests.</w:t>
      </w:r>
    </w:p>
    <w:p w14:paraId="5AF59CCF" w14:textId="469377F9"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Vega </w:t>
      </w:r>
      <w:r w:rsidR="000B42A0" w:rsidRPr="00DA7242">
        <w:rPr>
          <w:rFonts w:ascii="Arial" w:hAnsi="Arial" w:cs="Arial"/>
          <w:sz w:val="20"/>
          <w:szCs w:val="20"/>
        </w:rPr>
        <w:t xml:space="preserve">is expected to </w:t>
      </w:r>
      <w:r w:rsidRPr="00DA7242">
        <w:rPr>
          <w:rFonts w:ascii="Arial" w:hAnsi="Arial" w:cs="Arial"/>
          <w:sz w:val="20"/>
          <w:szCs w:val="20"/>
        </w:rPr>
        <w:t>be reported only for equities</w:t>
      </w:r>
      <w:r w:rsidR="00091FA8" w:rsidRPr="00DA7242">
        <w:rPr>
          <w:rFonts w:ascii="Arial" w:hAnsi="Arial" w:cs="Arial"/>
          <w:sz w:val="20"/>
          <w:szCs w:val="20"/>
        </w:rPr>
        <w:t>, commodities</w:t>
      </w:r>
      <w:r w:rsidRPr="00DA7242">
        <w:rPr>
          <w:rFonts w:ascii="Arial" w:hAnsi="Arial" w:cs="Arial"/>
          <w:sz w:val="20"/>
          <w:szCs w:val="20"/>
        </w:rPr>
        <w:t xml:space="preserve"> and exchange rates. Separate indication according to the maturity of the derivative instrument is not requested. The amount of Vega exposure for a given index would be the sum of the Vega exposures of the whole book of options mapped to the relative index, irrespective of the different option maturities.</w:t>
      </w:r>
    </w:p>
    <w:p w14:paraId="1B8D8918" w14:textId="77777777" w:rsidR="005F106D" w:rsidRDefault="005F106D" w:rsidP="005F106D">
      <w:pPr>
        <w:jc w:val="both"/>
        <w:rPr>
          <w:rFonts w:ascii="Arial" w:hAnsi="Arial" w:cs="Arial"/>
          <w:sz w:val="20"/>
          <w:szCs w:val="20"/>
        </w:rPr>
      </w:pPr>
      <w:r w:rsidRPr="00DA7242">
        <w:rPr>
          <w:rFonts w:ascii="Arial" w:hAnsi="Arial" w:cs="Arial"/>
          <w:sz w:val="20"/>
          <w:szCs w:val="20"/>
        </w:rPr>
        <w:t xml:space="preserve">The same risk factor can be modelled in different ways in applications provided by external suppliers or developed internally for the management of market risk. Especially products with high degrees of optionality are prone to alternative modelling approaches. Having in mind this, banks </w:t>
      </w:r>
      <w:r w:rsidR="000B42A0" w:rsidRPr="00DA7242">
        <w:rPr>
          <w:rFonts w:ascii="Arial" w:hAnsi="Arial" w:cs="Arial"/>
          <w:sz w:val="20"/>
          <w:szCs w:val="20"/>
        </w:rPr>
        <w:t xml:space="preserve">are expected to </w:t>
      </w:r>
      <w:r w:rsidRPr="00DA7242">
        <w:rPr>
          <w:rFonts w:ascii="Arial" w:hAnsi="Arial" w:cs="Arial"/>
          <w:sz w:val="20"/>
          <w:szCs w:val="20"/>
        </w:rPr>
        <w:t>ensure that, as much as possible, the sensitivities reported in the template are consistent with the present instructions.</w:t>
      </w:r>
    </w:p>
    <w:p w14:paraId="5815C1A5" w14:textId="77777777" w:rsidR="00247C65" w:rsidRPr="00DA7242" w:rsidRDefault="00247C65" w:rsidP="00247C65">
      <w:pPr>
        <w:jc w:val="both"/>
        <w:rPr>
          <w:rFonts w:ascii="Arial" w:hAnsi="Arial" w:cs="Arial"/>
          <w:sz w:val="20"/>
          <w:szCs w:val="20"/>
        </w:rPr>
      </w:pPr>
      <w:r>
        <w:rPr>
          <w:rFonts w:ascii="Arial" w:hAnsi="Arial" w:cs="Arial"/>
          <w:sz w:val="20"/>
          <w:szCs w:val="20"/>
        </w:rPr>
        <w:t xml:space="preserve">Reporting convention: While quarterly STE SREP reporting </w:t>
      </w:r>
      <w:r w:rsidRPr="00A66635">
        <w:rPr>
          <w:rFonts w:ascii="Arial" w:hAnsi="Arial" w:cs="Arial"/>
          <w:sz w:val="20"/>
          <w:szCs w:val="20"/>
        </w:rPr>
        <w:t>happens in 1,000 EUR units</w:t>
      </w:r>
      <w:r>
        <w:rPr>
          <w:rFonts w:ascii="Arial" w:hAnsi="Arial" w:cs="Arial"/>
          <w:sz w:val="20"/>
          <w:szCs w:val="20"/>
        </w:rPr>
        <w:t xml:space="preserve">, the COVID 19 reporting </w:t>
      </w:r>
      <w:r w:rsidRPr="00DA7242">
        <w:rPr>
          <w:rFonts w:ascii="Arial" w:hAnsi="Arial" w:cs="Arial"/>
          <w:sz w:val="20"/>
          <w:szCs w:val="20"/>
        </w:rPr>
        <w:t xml:space="preserve">should </w:t>
      </w:r>
      <w:r>
        <w:rPr>
          <w:rFonts w:ascii="Arial" w:hAnsi="Arial" w:cs="Arial"/>
          <w:sz w:val="20"/>
          <w:szCs w:val="20"/>
        </w:rPr>
        <w:t xml:space="preserve">however </w:t>
      </w:r>
      <w:r w:rsidRPr="00DA7242">
        <w:rPr>
          <w:rFonts w:ascii="Arial" w:hAnsi="Arial" w:cs="Arial"/>
          <w:sz w:val="20"/>
          <w:szCs w:val="20"/>
        </w:rPr>
        <w:t>be reported in EUR</w:t>
      </w:r>
      <w:r>
        <w:rPr>
          <w:rFonts w:ascii="Arial" w:hAnsi="Arial" w:cs="Arial"/>
          <w:sz w:val="20"/>
          <w:szCs w:val="20"/>
        </w:rPr>
        <w:t xml:space="preserve"> units</w:t>
      </w:r>
      <w:r w:rsidRPr="00DA7242">
        <w:rPr>
          <w:rFonts w:ascii="Arial" w:hAnsi="Arial" w:cs="Arial"/>
          <w:sz w:val="20"/>
          <w:szCs w:val="20"/>
        </w:rPr>
        <w:t>. All currencies should be converted into EUR</w:t>
      </w:r>
      <w:r>
        <w:rPr>
          <w:rFonts w:ascii="Arial" w:hAnsi="Arial" w:cs="Arial"/>
          <w:sz w:val="20"/>
          <w:szCs w:val="20"/>
        </w:rPr>
        <w:t>.</w:t>
      </w:r>
    </w:p>
    <w:p w14:paraId="1FD113AB" w14:textId="77777777" w:rsidR="005F106D" w:rsidRPr="00DA7242" w:rsidRDefault="005F106D" w:rsidP="005F106D">
      <w:pPr>
        <w:jc w:val="both"/>
        <w:rPr>
          <w:rFonts w:ascii="Arial" w:hAnsi="Arial" w:cs="Arial"/>
          <w:b/>
          <w:sz w:val="20"/>
          <w:szCs w:val="20"/>
          <w:u w:val="single"/>
        </w:rPr>
      </w:pPr>
      <w:r w:rsidRPr="00DA7242">
        <w:rPr>
          <w:rFonts w:ascii="Arial" w:hAnsi="Arial" w:cs="Arial"/>
          <w:b/>
          <w:sz w:val="20"/>
          <w:szCs w:val="20"/>
          <w:u w:val="single"/>
        </w:rPr>
        <w:t>Definition of risk areas, risk factors and sensitivities</w:t>
      </w:r>
    </w:p>
    <w:p w14:paraId="46EC6311" w14:textId="50BE16ED" w:rsidR="00091FA8" w:rsidRPr="00DA7242" w:rsidRDefault="00091FA8" w:rsidP="005F106D">
      <w:pPr>
        <w:jc w:val="both"/>
        <w:rPr>
          <w:rFonts w:ascii="Arial" w:hAnsi="Arial" w:cs="Arial"/>
          <w:sz w:val="20"/>
          <w:szCs w:val="20"/>
        </w:rPr>
      </w:pPr>
      <w:r w:rsidRPr="00DA7242">
        <w:rPr>
          <w:rFonts w:ascii="Arial" w:hAnsi="Arial" w:cs="Arial"/>
          <w:sz w:val="20"/>
          <w:szCs w:val="20"/>
        </w:rPr>
        <w:t>For the definition of risk areas, risk factors and sensitivities the institution shall refer to the instruction of the STE SREP template. Key principles are depicted below for convenience purposes.</w:t>
      </w:r>
    </w:p>
    <w:p w14:paraId="32EC5892" w14:textId="75A16C26" w:rsidR="005F106D" w:rsidRPr="00DA7242" w:rsidRDefault="005F106D" w:rsidP="005F106D">
      <w:pPr>
        <w:jc w:val="both"/>
        <w:rPr>
          <w:rFonts w:ascii="Arial" w:hAnsi="Arial" w:cs="Arial"/>
          <w:sz w:val="20"/>
          <w:szCs w:val="20"/>
        </w:rPr>
      </w:pPr>
      <w:r w:rsidRPr="00DA7242">
        <w:rPr>
          <w:rFonts w:ascii="Arial" w:hAnsi="Arial" w:cs="Arial"/>
          <w:sz w:val="20"/>
          <w:szCs w:val="20"/>
        </w:rPr>
        <w:t>The risk area is the macro-class of the risk factors which represents, directly or indirectly, arguments of the valuation function. Sensitivities regarding the following risk areas should be reported:</w:t>
      </w:r>
    </w:p>
    <w:p w14:paraId="300E9D86"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risk-free interest rate (IR),</w:t>
      </w:r>
    </w:p>
    <w:p w14:paraId="3BBDF845" w14:textId="63313A89"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equity (EQ),</w:t>
      </w:r>
    </w:p>
    <w:p w14:paraId="01EA39B3"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commodity (CM),</w:t>
      </w:r>
    </w:p>
    <w:p w14:paraId="11B43836"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credit spread (SPR),</w:t>
      </w:r>
    </w:p>
    <w:p w14:paraId="49DD1B3A"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proofErr w:type="gramStart"/>
      <w:r w:rsidRPr="00DA7242">
        <w:rPr>
          <w:rFonts w:ascii="Arial" w:hAnsi="Arial" w:cs="Arial"/>
          <w:sz w:val="20"/>
          <w:szCs w:val="20"/>
        </w:rPr>
        <w:t>foreign</w:t>
      </w:r>
      <w:proofErr w:type="gramEnd"/>
      <w:r w:rsidRPr="00DA7242">
        <w:rPr>
          <w:rFonts w:ascii="Arial" w:hAnsi="Arial" w:cs="Arial"/>
          <w:sz w:val="20"/>
          <w:szCs w:val="20"/>
        </w:rPr>
        <w:t xml:space="preserve"> exchange (FX).</w:t>
      </w:r>
    </w:p>
    <w:p w14:paraId="426A65F9" w14:textId="77777777" w:rsidR="005F106D" w:rsidRPr="00DA7242" w:rsidRDefault="005F106D" w:rsidP="005F106D">
      <w:pPr>
        <w:jc w:val="both"/>
        <w:rPr>
          <w:rFonts w:ascii="Arial" w:hAnsi="Arial" w:cs="Arial"/>
          <w:sz w:val="20"/>
          <w:szCs w:val="20"/>
        </w:rPr>
      </w:pPr>
    </w:p>
    <w:p w14:paraId="06D6DC80"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Each risk area comprises several risk factors. Granularity of data that should be reported in the template is presented in the explanation to equation (2.1). A single product can be exposed to several risk areas or to several risk factors, in which case data should be reported accordingly. For example, a bond of a non-euro area country should be mapped to IR, SPR and FX.</w:t>
      </w:r>
    </w:p>
    <w:p w14:paraId="7BD5C235"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For the definition of the sensitivities we will use the following general setup:</w:t>
      </w:r>
    </w:p>
    <w:p w14:paraId="528875CC" w14:textId="77777777" w:rsidR="005F106D" w:rsidRPr="0035689D" w:rsidRDefault="005F106D" w:rsidP="005F106D">
      <w:pPr>
        <w:pStyle w:val="norm"/>
        <w:jc w:val="center"/>
        <w:rPr>
          <w:rFonts w:ascii="Arial" w:hAnsi="Arial" w:cs="Arial"/>
          <w:sz w:val="20"/>
          <w:szCs w:val="20"/>
        </w:rPr>
      </w:pPr>
      <w:r w:rsidRPr="00FB316D">
        <w:rPr>
          <w:rFonts w:ascii="Arial" w:hAnsi="Arial" w:cs="Arial"/>
          <w:position w:val="-16"/>
          <w:sz w:val="20"/>
          <w:szCs w:val="20"/>
        </w:rPr>
        <w:object w:dxaOrig="5179" w:dyaOrig="420" w14:anchorId="6465B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pt;height:20.4pt" o:ole="">
            <v:imagedata r:id="rId12" o:title=""/>
          </v:shape>
          <o:OLEObject Type="Embed" ProgID="Equation.3" ShapeID="_x0000_i1025" DrawAspect="Content" ObjectID="_1656305912" r:id="rId13"/>
        </w:object>
      </w:r>
      <w:r w:rsidRPr="00DA7242">
        <w:rPr>
          <w:rFonts w:ascii="Arial" w:hAnsi="Arial" w:cs="Arial"/>
          <w:sz w:val="20"/>
          <w:szCs w:val="20"/>
        </w:rPr>
        <w:t xml:space="preserve"> (2.1)</w:t>
      </w:r>
    </w:p>
    <w:p w14:paraId="581BE767" w14:textId="77777777" w:rsidR="005F106D" w:rsidRPr="00DA7242" w:rsidRDefault="0048044D" w:rsidP="005F106D">
      <w:pPr>
        <w:pStyle w:val="norm"/>
        <w:ind w:left="720"/>
        <w:rPr>
          <w:rFonts w:ascii="Arial" w:hAnsi="Arial" w:cs="Arial"/>
          <w:sz w:val="20"/>
          <w:szCs w:val="20"/>
        </w:rPr>
      </w:pPr>
      <w:r w:rsidRPr="00DA7242">
        <w:rPr>
          <w:rFonts w:ascii="Arial" w:hAnsi="Arial" w:cs="Arial"/>
          <w:sz w:val="20"/>
          <w:szCs w:val="20"/>
        </w:rPr>
        <w:t>W</w:t>
      </w:r>
      <w:r w:rsidR="005F106D" w:rsidRPr="00DA7242">
        <w:rPr>
          <w:rFonts w:ascii="Arial" w:hAnsi="Arial" w:cs="Arial"/>
          <w:sz w:val="20"/>
          <w:szCs w:val="20"/>
        </w:rPr>
        <w:t>here</w:t>
      </w:r>
      <w:r w:rsidRPr="00DA7242">
        <w:rPr>
          <w:rFonts w:ascii="Arial" w:hAnsi="Arial" w:cs="Arial"/>
          <w:sz w:val="20"/>
          <w:szCs w:val="20"/>
        </w:rPr>
        <w:t>:</w:t>
      </w:r>
    </w:p>
    <w:p w14:paraId="41894185"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2"/>
          <w:sz w:val="20"/>
          <w:szCs w:val="20"/>
        </w:rPr>
        <w:object w:dxaOrig="320" w:dyaOrig="360" w14:anchorId="2C94F172">
          <v:shape id="_x0000_i1026" type="#_x0000_t75" style="width:15.6pt;height:19pt" o:ole="">
            <v:imagedata r:id="rId14" o:title=""/>
          </v:shape>
          <o:OLEObject Type="Embed" ProgID="Equation.3" ShapeID="_x0000_i1026" DrawAspect="Content" ObjectID="_1656305913" r:id="rId15"/>
        </w:object>
      </w:r>
      <w:r w:rsidRPr="00DA7242">
        <w:rPr>
          <w:rFonts w:ascii="Arial" w:hAnsi="Arial" w:cs="Arial"/>
          <w:sz w:val="20"/>
          <w:szCs w:val="20"/>
        </w:rPr>
        <w:t xml:space="preserve"> is the value of the portfolio </w:t>
      </w:r>
      <w:r w:rsidRPr="00FB316D">
        <w:rPr>
          <w:rFonts w:ascii="Arial" w:hAnsi="Arial" w:cs="Arial"/>
          <w:sz w:val="20"/>
          <w:szCs w:val="20"/>
        </w:rPr>
        <w:fldChar w:fldCharType="begin"/>
      </w:r>
      <w:r w:rsidRPr="00DA7242">
        <w:rPr>
          <w:rFonts w:ascii="Arial" w:hAnsi="Arial" w:cs="Arial"/>
          <w:sz w:val="20"/>
          <w:szCs w:val="20"/>
        </w:rPr>
        <w:instrText xml:space="preserve"> QUOTE </w:instrText>
      </w:r>
      <m:oMath>
        <m:sSub>
          <m:sSubPr>
            <m:ctrlPr>
              <w:rPr>
                <w:rFonts w:ascii="Cambria Math" w:eastAsia="Cambria Math" w:hAnsi="Cambria Math" w:cs="Arial"/>
                <w:i/>
                <w:iCs/>
                <w:color w:val="000000"/>
                <w:kern w:val="24"/>
                <w:sz w:val="20"/>
                <w:szCs w:val="20"/>
                <w:lang w:val="el-GR"/>
              </w:rPr>
            </m:ctrlPr>
          </m:sSubPr>
          <m:e>
            <m:r>
              <m:rPr>
                <m:sty m:val="p"/>
              </m:rPr>
              <w:rPr>
                <w:rFonts w:ascii="Cambria Math" w:hAnsi="Cambria Math" w:cs="Arial" w:hint="eastAsia"/>
                <w:color w:val="000000"/>
                <w:kern w:val="24"/>
                <w:sz w:val="20"/>
                <w:szCs w:val="20"/>
                <w:lang w:val="el-GR"/>
              </w:rPr>
              <m:t>Π</m:t>
            </m:r>
          </m:e>
          <m:sub>
            <m:r>
              <m:rPr>
                <m:sty m:val="p"/>
              </m:rPr>
              <w:rPr>
                <w:rFonts w:ascii="Cambria Math" w:hAnsi="Cambria Math" w:cs="Arial"/>
                <w:color w:val="000000"/>
                <w:kern w:val="24"/>
                <w:sz w:val="20"/>
                <w:szCs w:val="20"/>
              </w:rPr>
              <m:t>t</m:t>
            </m:r>
          </m:sub>
        </m:sSub>
        <m:r>
          <m:rPr>
            <m:sty m:val="p"/>
          </m:rPr>
          <w:rPr>
            <w:rFonts w:ascii="Cambria Math" w:hAnsi="Cambria Math" w:cs="Arial"/>
            <w:color w:val="000000"/>
            <w:kern w:val="24"/>
            <w:sz w:val="20"/>
            <w:szCs w:val="20"/>
          </w:rPr>
          <m:t>=V</m:t>
        </m:r>
        <m:d>
          <m:dPr>
            <m:ctrlPr>
              <w:rPr>
                <w:rFonts w:ascii="Cambria Math" w:eastAsia="Cambria Math" w:hAnsi="Cambria Math" w:cs="Arial"/>
                <w:i/>
                <w:iCs/>
                <w:color w:val="000000"/>
                <w:kern w:val="24"/>
                <w:sz w:val="20"/>
                <w:szCs w:val="20"/>
              </w:rPr>
            </m:ctrlPr>
          </m:dPr>
          <m:e>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IR</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c,m</m:t>
                        </m:r>
                      </m:sup>
                    </m:sSubSup>
                  </m:e>
                </m:d>
              </m:e>
              <m:sub>
                <m:r>
                  <m:rPr>
                    <m:sty m:val="p"/>
                  </m:rPr>
                  <w:rPr>
                    <w:rFonts w:ascii="Cambria Math" w:hAnsi="Cambria Math" w:cs="Arial"/>
                    <w:color w:val="000000"/>
                    <w:kern w:val="24"/>
                    <w:sz w:val="20"/>
                    <w:szCs w:val="20"/>
                  </w:rPr>
                  <m:t>c,m</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EQ</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i</m:t>
                        </m:r>
                      </m:sup>
                    </m:sSubSup>
                    <m:r>
                      <m:rPr>
                        <m:sty m:val="p"/>
                      </m:rPr>
                      <w:rPr>
                        <w:rFonts w:ascii="Cambria Math" w:hAnsi="Cambria Math" w:cs="Arial" w:hint="eastAsia"/>
                        <w:color w:val="000000"/>
                        <w:kern w:val="24"/>
                        <w:sz w:val="20"/>
                        <w:szCs w:val="20"/>
                      </w:rPr>
                      <m:t> </m:t>
                    </m:r>
                  </m:e>
                </m:d>
              </m:e>
              <m:sub>
                <m:r>
                  <m:rPr>
                    <m:sty m:val="p"/>
                  </m:rPr>
                  <w:rPr>
                    <w:rFonts w:ascii="Cambria Math" w:hAnsi="Cambria Math" w:cs="Arial"/>
                    <w:color w:val="000000"/>
                    <w:kern w:val="24"/>
                    <w:sz w:val="20"/>
                    <w:szCs w:val="20"/>
                  </w:rPr>
                  <m:t>i</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CM</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j</m:t>
                        </m:r>
                      </m:sup>
                    </m:sSubSup>
                  </m:e>
                </m:d>
              </m:e>
              <m:sub>
                <m:r>
                  <m:rPr>
                    <m:sty m:val="p"/>
                  </m:rPr>
                  <w:rPr>
                    <w:rFonts w:ascii="Cambria Math" w:hAnsi="Cambria Math" w:cs="Arial"/>
                    <w:color w:val="000000"/>
                    <w:kern w:val="24"/>
                    <w:sz w:val="20"/>
                    <w:szCs w:val="20"/>
                  </w:rPr>
                  <m:t>j</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FX</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d</m:t>
                        </m:r>
                      </m:sup>
                    </m:sSubSup>
                    <m:r>
                      <m:rPr>
                        <m:sty m:val="p"/>
                      </m:rPr>
                      <w:rPr>
                        <w:rFonts w:ascii="Cambria Math" w:hAnsi="Cambria Math" w:cs="Arial" w:hint="eastAsia"/>
                        <w:color w:val="000000"/>
                        <w:kern w:val="24"/>
                        <w:sz w:val="20"/>
                        <w:szCs w:val="20"/>
                      </w:rPr>
                      <m:t> </m:t>
                    </m:r>
                  </m:e>
                </m:d>
              </m:e>
              <m:sub>
                <m:r>
                  <m:rPr>
                    <m:sty m:val="p"/>
                  </m:rPr>
                  <w:rPr>
                    <w:rFonts w:ascii="Cambria Math" w:hAnsi="Cambria Math" w:cs="Arial"/>
                    <w:color w:val="000000"/>
                    <w:kern w:val="24"/>
                    <w:sz w:val="20"/>
                    <w:szCs w:val="20"/>
                  </w:rPr>
                  <m:t>d</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SPR</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m,s</m:t>
                        </m:r>
                      </m:sup>
                    </m:sSubSup>
                  </m:e>
                </m:d>
              </m:e>
              <m:sub>
                <m:r>
                  <m:rPr>
                    <m:sty m:val="p"/>
                  </m:rPr>
                  <w:rPr>
                    <w:rFonts w:ascii="Cambria Math" w:hAnsi="Cambria Math" w:cs="Arial"/>
                    <w:color w:val="000000"/>
                    <w:kern w:val="24"/>
                    <w:sz w:val="20"/>
                    <w:szCs w:val="20"/>
                  </w:rPr>
                  <m:t>m,s</m:t>
                </m:r>
              </m:sub>
            </m:sSub>
          </m:e>
        </m:d>
      </m:oMath>
      <w:r w:rsidRPr="00DA7242">
        <w:rPr>
          <w:rFonts w:ascii="Arial" w:hAnsi="Arial" w:cs="Arial"/>
          <w:sz w:val="20"/>
          <w:szCs w:val="20"/>
        </w:rPr>
        <w:instrText xml:space="preserve"> </w:instrText>
      </w:r>
      <w:r w:rsidRPr="00FB316D">
        <w:rPr>
          <w:rFonts w:ascii="Arial" w:hAnsi="Arial" w:cs="Arial"/>
          <w:sz w:val="20"/>
          <w:szCs w:val="20"/>
        </w:rPr>
        <w:fldChar w:fldCharType="end"/>
      </w:r>
      <w:r w:rsidRPr="00DA7242">
        <w:rPr>
          <w:rFonts w:ascii="Arial" w:hAnsi="Arial" w:cs="Arial"/>
          <w:sz w:val="20"/>
          <w:szCs w:val="20"/>
        </w:rPr>
        <w:t xml:space="preserve">(TB, respectively BB) at time </w:t>
      </w:r>
      <w:r w:rsidRPr="00FB316D">
        <w:rPr>
          <w:rFonts w:ascii="Arial" w:hAnsi="Arial" w:cs="Arial"/>
          <w:position w:val="-6"/>
          <w:sz w:val="20"/>
          <w:szCs w:val="20"/>
        </w:rPr>
        <w:object w:dxaOrig="139" w:dyaOrig="240" w14:anchorId="68FF65B3">
          <v:shape id="_x0000_i1027" type="#_x0000_t75" style="width:6.1pt;height:10.85pt" o:ole="">
            <v:imagedata r:id="rId16" o:title=""/>
          </v:shape>
          <o:OLEObject Type="Embed" ProgID="Equation.3" ShapeID="_x0000_i1027" DrawAspect="Content" ObjectID="_1656305914" r:id="rId17"/>
        </w:object>
      </w:r>
      <w:r w:rsidRPr="00DA7242">
        <w:rPr>
          <w:rFonts w:ascii="Arial" w:hAnsi="Arial" w:cs="Arial"/>
          <w:sz w:val="20"/>
          <w:szCs w:val="20"/>
        </w:rPr>
        <w:t>;</w:t>
      </w:r>
    </w:p>
    <w:p w14:paraId="49A362C2"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0"/>
          <w:sz w:val="20"/>
          <w:szCs w:val="20"/>
        </w:rPr>
        <w:object w:dxaOrig="420" w:dyaOrig="340" w14:anchorId="28ED6237">
          <v:shape id="_x0000_i1028" type="#_x0000_t75" style="width:19pt;height:17pt" o:ole="">
            <v:imagedata r:id="rId18" o:title=""/>
          </v:shape>
          <o:OLEObject Type="Embed" ProgID="Equation.3" ShapeID="_x0000_i1028" DrawAspect="Content" ObjectID="_1656305915" r:id="rId19"/>
        </w:object>
      </w:r>
      <w:r w:rsidRPr="00DA7242">
        <w:rPr>
          <w:rFonts w:ascii="Arial" w:hAnsi="Arial" w:cs="Arial"/>
          <w:sz w:val="20"/>
          <w:szCs w:val="20"/>
        </w:rPr>
        <w:t xml:space="preserve"> is the valuation function;</w:t>
      </w:r>
    </w:p>
    <w:p w14:paraId="1C108558" w14:textId="103E939D"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4"/>
          <w:sz w:val="20"/>
          <w:szCs w:val="20"/>
        </w:rPr>
        <w:object w:dxaOrig="920" w:dyaOrig="400" w14:anchorId="35DD97D2">
          <v:shape id="_x0000_i1029" type="#_x0000_t75" style="width:48.25pt;height:19pt" o:ole="">
            <v:imagedata r:id="rId20" o:title=""/>
          </v:shape>
          <o:OLEObject Type="Embed" ProgID="Equation.3" ShapeID="_x0000_i1029" DrawAspect="Content" ObjectID="_1656305916" r:id="rId21"/>
        </w:object>
      </w:r>
      <w:r w:rsidRPr="00DA7242">
        <w:rPr>
          <w:rFonts w:ascii="Arial" w:hAnsi="Arial" w:cs="Arial"/>
          <w:sz w:val="20"/>
          <w:szCs w:val="20"/>
        </w:rPr>
        <w:t xml:space="preserve"> represents the IR risk area family of risk factors, with the granularity defined by currency</w:t>
      </w:r>
      <w:r w:rsidR="00091FA8" w:rsidRPr="00DA7242">
        <w:rPr>
          <w:rFonts w:ascii="Arial" w:hAnsi="Arial" w:cs="Arial"/>
          <w:sz w:val="20"/>
          <w:szCs w:val="20"/>
        </w:rPr>
        <w:t xml:space="preserve"> </w:t>
      </w:r>
      <m:oMath>
        <m:r>
          <w:rPr>
            <w:rFonts w:ascii="Cambria Math" w:hAnsi="Cambria Math" w:cs="Arial"/>
            <w:color w:val="000000" w:themeColor="text1"/>
            <w:sz w:val="20"/>
            <w:szCs w:val="20"/>
          </w:rPr>
          <m:t>c∈</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EUR, USD, UK, Other</m:t>
            </m:r>
          </m:e>
        </m:d>
      </m:oMath>
      <w:r w:rsidRPr="00DA7242">
        <w:rPr>
          <w:rFonts w:ascii="Arial" w:hAnsi="Arial" w:cs="Arial"/>
          <w:sz w:val="20"/>
          <w:szCs w:val="20"/>
        </w:rPr>
        <w:t>;</w:t>
      </w:r>
    </w:p>
    <w:p w14:paraId="40D844C7"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2"/>
          <w:sz w:val="20"/>
          <w:szCs w:val="20"/>
        </w:rPr>
        <w:object w:dxaOrig="660" w:dyaOrig="380" w14:anchorId="111623D7">
          <v:shape id="_x0000_i1030" type="#_x0000_t75" style="width:31.25pt;height:17pt" o:ole="">
            <v:imagedata r:id="rId22" o:title=""/>
          </v:shape>
          <o:OLEObject Type="Embed" ProgID="Equation.3" ShapeID="_x0000_i1030" DrawAspect="Content" ObjectID="_1656305917" r:id="rId23"/>
        </w:object>
      </w:r>
      <w:r w:rsidRPr="00DA7242">
        <w:rPr>
          <w:rFonts w:ascii="Arial" w:hAnsi="Arial" w:cs="Arial"/>
          <w:sz w:val="20"/>
          <w:szCs w:val="20"/>
        </w:rPr>
        <w:t xml:space="preserve"> represents the EQ risk area family of risk factors, with the granularity defined by index </w:t>
      </w:r>
      <m:oMath>
        <m:r>
          <w:rPr>
            <w:rFonts w:ascii="Cambria Math" w:hAnsi="Cambria Math" w:cs="Arial"/>
            <w:color w:val="000000" w:themeColor="text1"/>
            <w:sz w:val="20"/>
            <w:szCs w:val="20"/>
          </w:rPr>
          <m:t>i ∈</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Europe, US,UK, Other</m:t>
            </m:r>
          </m:e>
        </m:d>
      </m:oMath>
      <w:r w:rsidRPr="00DA7242">
        <w:rPr>
          <w:rFonts w:ascii="Arial" w:hAnsi="Arial" w:cs="Arial"/>
          <w:sz w:val="20"/>
          <w:szCs w:val="20"/>
        </w:rPr>
        <w:t>;</w:t>
      </w:r>
    </w:p>
    <w:p w14:paraId="43D36EE5"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6"/>
          <w:sz w:val="20"/>
          <w:szCs w:val="20"/>
        </w:rPr>
        <w:object w:dxaOrig="780" w:dyaOrig="420" w14:anchorId="1969ACB3">
          <v:shape id="_x0000_i1031" type="#_x0000_t75" style="width:42.1pt;height:19pt" o:ole="">
            <v:imagedata r:id="rId24" o:title=""/>
          </v:shape>
          <o:OLEObject Type="Embed" ProgID="Equation.3" ShapeID="_x0000_i1031" DrawAspect="Content" ObjectID="_1656305918" r:id="rId25"/>
        </w:object>
      </w:r>
      <w:r w:rsidRPr="00DA7242">
        <w:rPr>
          <w:rFonts w:ascii="Arial" w:hAnsi="Arial" w:cs="Arial"/>
          <w:sz w:val="20"/>
          <w:szCs w:val="20"/>
        </w:rPr>
        <w:t xml:space="preserve"> represents the CM risk area family of risk factors;</w:t>
      </w:r>
    </w:p>
    <w:p w14:paraId="2152108C" w14:textId="77777777" w:rsidR="005F106D" w:rsidRPr="00DA7242" w:rsidRDefault="005F106D" w:rsidP="005F106D">
      <w:pPr>
        <w:pStyle w:val="norm"/>
        <w:numPr>
          <w:ilvl w:val="0"/>
          <w:numId w:val="5"/>
        </w:numPr>
        <w:tabs>
          <w:tab w:val="clear" w:pos="9356"/>
        </w:tabs>
        <w:ind w:left="567"/>
        <w:jc w:val="left"/>
        <w:rPr>
          <w:rFonts w:ascii="Arial" w:hAnsi="Arial" w:cs="Arial"/>
          <w:sz w:val="20"/>
          <w:szCs w:val="20"/>
        </w:rPr>
      </w:pPr>
      <w:r w:rsidRPr="00FB316D">
        <w:rPr>
          <w:rFonts w:ascii="Arial" w:hAnsi="Arial" w:cs="Arial"/>
          <w:position w:val="-14"/>
          <w:sz w:val="20"/>
          <w:szCs w:val="20"/>
        </w:rPr>
        <w:object w:dxaOrig="1080" w:dyaOrig="400" w14:anchorId="06130E58">
          <v:shape id="_x0000_i1032" type="#_x0000_t75" style="width:56.4pt;height:19pt" o:ole="">
            <v:imagedata r:id="rId26" o:title=""/>
          </v:shape>
          <o:OLEObject Type="Embed" ProgID="Equation.3" ShapeID="_x0000_i1032" DrawAspect="Content" ObjectID="_1656305919" r:id="rId27"/>
        </w:object>
      </w:r>
      <w:r w:rsidRPr="00DA7242">
        <w:rPr>
          <w:rFonts w:ascii="Arial" w:hAnsi="Arial" w:cs="Arial"/>
          <w:sz w:val="20"/>
          <w:szCs w:val="20"/>
        </w:rPr>
        <w:t xml:space="preserve"> represents the SPR risk area family of risk factors, with the granularity defined by sector </w:t>
      </w:r>
      <m:oMath>
        <m:r>
          <w:rPr>
            <w:rFonts w:ascii="Cambria Math" w:hAnsi="Cambria Math" w:cs="Arial"/>
            <w:color w:val="000000" w:themeColor="text1"/>
            <w:sz w:val="20"/>
            <w:szCs w:val="20"/>
          </w:rPr>
          <m:t>s ∈</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 xml:space="preserve">Sovereign Home country, Euro area </m:t>
            </m:r>
            <m:d>
              <m:dPr>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exc. home country</m:t>
                </m:r>
              </m:e>
            </m:d>
            <m:r>
              <w:rPr>
                <w:rFonts w:ascii="Cambria Math" w:hAnsi="Cambria Math" w:cs="Arial"/>
                <w:color w:val="000000" w:themeColor="text1"/>
                <w:sz w:val="20"/>
                <w:szCs w:val="20"/>
              </w:rPr>
              <m:t>,  US,  Other sovereigns,  Corporate:financials, Corporate:non-financials</m:t>
            </m:r>
          </m:e>
        </m:d>
      </m:oMath>
      <w:r w:rsidRPr="00DA7242">
        <w:rPr>
          <w:rFonts w:ascii="Arial" w:hAnsi="Arial" w:cs="Arial"/>
          <w:sz w:val="20"/>
          <w:szCs w:val="20"/>
        </w:rPr>
        <w:t>;</w:t>
      </w:r>
    </w:p>
    <w:p w14:paraId="64519E07"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2"/>
          <w:sz w:val="20"/>
          <w:szCs w:val="20"/>
        </w:rPr>
        <w:object w:dxaOrig="760" w:dyaOrig="380" w14:anchorId="241A0C1B">
          <v:shape id="_x0000_i1033" type="#_x0000_t75" style="width:37.35pt;height:17pt" o:ole="">
            <v:imagedata r:id="rId28" o:title=""/>
          </v:shape>
          <o:OLEObject Type="Embed" ProgID="Equation.3" ShapeID="_x0000_i1033" DrawAspect="Content" ObjectID="_1656305920" r:id="rId29"/>
        </w:object>
      </w:r>
      <w:r w:rsidRPr="00DA7242">
        <w:rPr>
          <w:rFonts w:ascii="Arial" w:hAnsi="Arial" w:cs="Arial"/>
          <w:sz w:val="20"/>
          <w:szCs w:val="20"/>
        </w:rPr>
        <w:t xml:space="preserve"> </w:t>
      </w:r>
      <w:proofErr w:type="gramStart"/>
      <w:r w:rsidRPr="00DA7242">
        <w:rPr>
          <w:rFonts w:ascii="Arial" w:hAnsi="Arial" w:cs="Arial"/>
          <w:sz w:val="20"/>
          <w:szCs w:val="20"/>
        </w:rPr>
        <w:t>represents</w:t>
      </w:r>
      <w:proofErr w:type="gramEnd"/>
      <w:r w:rsidRPr="00DA7242">
        <w:rPr>
          <w:rFonts w:ascii="Arial" w:hAnsi="Arial" w:cs="Arial"/>
          <w:sz w:val="20"/>
          <w:szCs w:val="20"/>
        </w:rPr>
        <w:t xml:space="preserve"> the FX risk area family of risk factors, with the granularity defined by exchange rate </w:t>
      </w:r>
      <m:oMath>
        <m:r>
          <w:rPr>
            <w:rFonts w:ascii="Cambria Math" w:hAnsi="Cambria Math" w:cs="Arial"/>
            <w:color w:val="000000" w:themeColor="text1"/>
            <w:sz w:val="20"/>
            <w:szCs w:val="20"/>
          </w:rPr>
          <m:t>d ∈</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EUR/USD, EUR/GBP, Other</m:t>
            </m:r>
          </m:e>
        </m:d>
      </m:oMath>
      <w:r w:rsidRPr="00DA7242">
        <w:rPr>
          <w:rFonts w:ascii="Arial" w:hAnsi="Arial" w:cs="Arial"/>
          <w:sz w:val="20"/>
          <w:szCs w:val="20"/>
        </w:rPr>
        <w:t>.</w:t>
      </w:r>
    </w:p>
    <w:p w14:paraId="2A286436" w14:textId="77777777" w:rsidR="005F106D" w:rsidRPr="00DA7242" w:rsidRDefault="005F106D" w:rsidP="005F106D">
      <w:pPr>
        <w:pStyle w:val="norm"/>
        <w:tabs>
          <w:tab w:val="clear" w:pos="9356"/>
        </w:tabs>
        <w:ind w:left="2160"/>
        <w:rPr>
          <w:rFonts w:ascii="Arial" w:hAnsi="Arial" w:cs="Arial"/>
          <w:sz w:val="20"/>
          <w:szCs w:val="20"/>
        </w:rPr>
      </w:pPr>
    </w:p>
    <w:p w14:paraId="6A993425"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Please note that the role of equation (2.1) is only to illustrate how the risk areas and risk factors should be understood, and to provide a context for the definition of sensitivities in a manner consistent to the </w:t>
      </w:r>
      <w:r w:rsidR="000B42A0" w:rsidRPr="00DA7242">
        <w:rPr>
          <w:rFonts w:ascii="Arial" w:hAnsi="Arial" w:cs="Arial"/>
          <w:sz w:val="20"/>
          <w:szCs w:val="20"/>
        </w:rPr>
        <w:t xml:space="preserve">instructions </w:t>
      </w:r>
      <w:r w:rsidRPr="00DA7242">
        <w:rPr>
          <w:rFonts w:ascii="Arial" w:hAnsi="Arial" w:cs="Arial"/>
          <w:sz w:val="20"/>
          <w:szCs w:val="20"/>
        </w:rPr>
        <w:t>of the template. This general setup should not be considered as mandatory or prescriptive. It is expected, in general, that the calculation processes used internally by the banks to be much more granular.</w:t>
      </w:r>
    </w:p>
    <w:p w14:paraId="1272690E"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From a general point of view, sensitivities refer to partial derivatives of the valuation function. Table 1 presents a general definition of sensitivities, as well as their scope in terms of portfolios and products.</w:t>
      </w:r>
    </w:p>
    <w:p w14:paraId="4A34E9FE" w14:textId="77777777" w:rsidR="005F106D" w:rsidRPr="00DA7242" w:rsidRDefault="005F106D" w:rsidP="005F106D">
      <w:pPr>
        <w:pStyle w:val="norm"/>
        <w:ind w:left="360"/>
        <w:rPr>
          <w:rFonts w:ascii="Arial" w:hAnsi="Arial" w:cs="Arial"/>
          <w:sz w:val="20"/>
          <w:szCs w:val="20"/>
        </w:rPr>
      </w:pPr>
    </w:p>
    <w:tbl>
      <w:tblPr>
        <w:tblW w:w="0" w:type="auto"/>
        <w:jc w:val="center"/>
        <w:tblLook w:val="04A0" w:firstRow="1" w:lastRow="0" w:firstColumn="1" w:lastColumn="0" w:noHBand="0" w:noVBand="1"/>
      </w:tblPr>
      <w:tblGrid>
        <w:gridCol w:w="1848"/>
        <w:gridCol w:w="3478"/>
        <w:gridCol w:w="1186"/>
        <w:gridCol w:w="2228"/>
      </w:tblGrid>
      <w:tr w:rsidR="005F106D" w:rsidRPr="00DA7242" w14:paraId="3865BFFB" w14:textId="77777777" w:rsidTr="00994C51">
        <w:trPr>
          <w:jc w:val="center"/>
        </w:trPr>
        <w:tc>
          <w:tcPr>
            <w:tcW w:w="8740" w:type="dxa"/>
            <w:gridSpan w:val="4"/>
            <w:tcBorders>
              <w:bottom w:val="single" w:sz="4" w:space="0" w:color="auto"/>
            </w:tcBorders>
            <w:shd w:val="clear" w:color="auto" w:fill="auto"/>
          </w:tcPr>
          <w:p w14:paraId="6B01A00B" w14:textId="77777777" w:rsidR="005F106D" w:rsidRPr="00DA7242" w:rsidRDefault="005F106D" w:rsidP="00994C51">
            <w:pPr>
              <w:pStyle w:val="norm"/>
              <w:spacing w:line="240" w:lineRule="auto"/>
              <w:jc w:val="left"/>
              <w:rPr>
                <w:rFonts w:ascii="Arial" w:hAnsi="Arial" w:cs="Arial"/>
                <w:b/>
                <w:sz w:val="20"/>
                <w:szCs w:val="20"/>
              </w:rPr>
            </w:pPr>
            <w:r w:rsidRPr="00DA7242">
              <w:rPr>
                <w:rFonts w:ascii="Arial" w:hAnsi="Arial" w:cs="Arial"/>
                <w:b/>
                <w:sz w:val="20"/>
                <w:szCs w:val="20"/>
              </w:rPr>
              <w:t>Table 1</w:t>
            </w:r>
          </w:p>
        </w:tc>
      </w:tr>
      <w:tr w:rsidR="005F106D" w:rsidRPr="00DA7242" w14:paraId="01A434FD" w14:textId="77777777" w:rsidTr="00994C51">
        <w:trPr>
          <w:jc w:val="center"/>
        </w:trPr>
        <w:tc>
          <w:tcPr>
            <w:tcW w:w="1848" w:type="dxa"/>
            <w:tcBorders>
              <w:top w:val="single" w:sz="4" w:space="0" w:color="auto"/>
              <w:bottom w:val="double" w:sz="4" w:space="0" w:color="auto"/>
            </w:tcBorders>
            <w:shd w:val="clear" w:color="auto" w:fill="auto"/>
          </w:tcPr>
          <w:p w14:paraId="3282CEEF" w14:textId="77777777" w:rsidR="005F106D" w:rsidRPr="00DA7242" w:rsidRDefault="005F106D" w:rsidP="00994C51">
            <w:pPr>
              <w:pStyle w:val="norm"/>
              <w:spacing w:line="240" w:lineRule="auto"/>
              <w:jc w:val="center"/>
              <w:rPr>
                <w:rFonts w:ascii="Arial" w:hAnsi="Arial" w:cs="Arial"/>
                <w:b/>
                <w:sz w:val="20"/>
                <w:szCs w:val="20"/>
              </w:rPr>
            </w:pPr>
            <w:r w:rsidRPr="00DA7242">
              <w:rPr>
                <w:rFonts w:ascii="Arial" w:hAnsi="Arial" w:cs="Arial"/>
                <w:b/>
                <w:sz w:val="20"/>
                <w:szCs w:val="20"/>
              </w:rPr>
              <w:t>Sensitivity</w:t>
            </w:r>
          </w:p>
        </w:tc>
        <w:tc>
          <w:tcPr>
            <w:tcW w:w="3478" w:type="dxa"/>
            <w:tcBorders>
              <w:top w:val="single" w:sz="4" w:space="0" w:color="auto"/>
              <w:bottom w:val="double" w:sz="4" w:space="0" w:color="auto"/>
            </w:tcBorders>
            <w:shd w:val="clear" w:color="auto" w:fill="auto"/>
          </w:tcPr>
          <w:p w14:paraId="5F497CFD" w14:textId="77777777" w:rsidR="005F106D" w:rsidRPr="00DA7242" w:rsidRDefault="005F106D" w:rsidP="00994C51">
            <w:pPr>
              <w:pStyle w:val="norm"/>
              <w:spacing w:line="240" w:lineRule="auto"/>
              <w:jc w:val="center"/>
              <w:rPr>
                <w:rFonts w:ascii="Arial" w:hAnsi="Arial" w:cs="Arial"/>
                <w:b/>
                <w:sz w:val="20"/>
                <w:szCs w:val="20"/>
              </w:rPr>
            </w:pPr>
            <w:r w:rsidRPr="00DA7242">
              <w:rPr>
                <w:rFonts w:ascii="Arial" w:hAnsi="Arial" w:cs="Arial"/>
                <w:b/>
                <w:sz w:val="20"/>
                <w:szCs w:val="20"/>
              </w:rPr>
              <w:t>General definition</w:t>
            </w:r>
          </w:p>
        </w:tc>
        <w:tc>
          <w:tcPr>
            <w:tcW w:w="1186" w:type="dxa"/>
            <w:tcBorders>
              <w:top w:val="single" w:sz="4" w:space="0" w:color="auto"/>
              <w:bottom w:val="double" w:sz="4" w:space="0" w:color="auto"/>
            </w:tcBorders>
            <w:shd w:val="clear" w:color="auto" w:fill="auto"/>
          </w:tcPr>
          <w:p w14:paraId="214CF1C5" w14:textId="77777777" w:rsidR="005F106D" w:rsidRPr="00DA7242" w:rsidRDefault="005F106D" w:rsidP="00994C51">
            <w:pPr>
              <w:pStyle w:val="norm"/>
              <w:spacing w:line="240" w:lineRule="auto"/>
              <w:jc w:val="center"/>
              <w:rPr>
                <w:rFonts w:ascii="Arial" w:hAnsi="Arial" w:cs="Arial"/>
                <w:b/>
                <w:sz w:val="20"/>
                <w:szCs w:val="20"/>
              </w:rPr>
            </w:pPr>
            <w:r w:rsidRPr="00DA7242">
              <w:rPr>
                <w:rFonts w:ascii="Arial" w:hAnsi="Arial" w:cs="Arial"/>
                <w:b/>
                <w:sz w:val="20"/>
                <w:szCs w:val="20"/>
              </w:rPr>
              <w:t>Portfolios in scope</w:t>
            </w:r>
          </w:p>
        </w:tc>
        <w:tc>
          <w:tcPr>
            <w:tcW w:w="2228" w:type="dxa"/>
            <w:tcBorders>
              <w:top w:val="single" w:sz="4" w:space="0" w:color="auto"/>
              <w:bottom w:val="double" w:sz="4" w:space="0" w:color="auto"/>
            </w:tcBorders>
            <w:shd w:val="clear" w:color="auto" w:fill="auto"/>
          </w:tcPr>
          <w:p w14:paraId="1FE3CFB6" w14:textId="77777777" w:rsidR="005F106D" w:rsidRPr="00DA7242" w:rsidRDefault="00991C03" w:rsidP="00994C51">
            <w:pPr>
              <w:pStyle w:val="norm"/>
              <w:spacing w:line="240" w:lineRule="auto"/>
              <w:jc w:val="center"/>
              <w:rPr>
                <w:rFonts w:ascii="Arial" w:hAnsi="Arial" w:cs="Arial"/>
                <w:b/>
                <w:sz w:val="20"/>
                <w:szCs w:val="20"/>
              </w:rPr>
            </w:pPr>
            <w:r w:rsidRPr="00DA7242">
              <w:rPr>
                <w:rFonts w:ascii="Arial" w:hAnsi="Arial" w:cs="Arial"/>
                <w:b/>
                <w:sz w:val="20"/>
                <w:szCs w:val="20"/>
              </w:rPr>
              <w:t>Instruments in scope</w:t>
            </w:r>
            <w:r w:rsidRPr="00DA7242">
              <w:rPr>
                <w:rStyle w:val="FootnoteReference"/>
                <w:rFonts w:ascii="Arial" w:hAnsi="Arial" w:cs="Arial"/>
                <w:b/>
                <w:sz w:val="20"/>
                <w:szCs w:val="20"/>
              </w:rPr>
              <w:footnoteReference w:id="10"/>
            </w:r>
          </w:p>
        </w:tc>
      </w:tr>
      <w:tr w:rsidR="005F106D" w:rsidRPr="00DA7242" w14:paraId="265D31AE" w14:textId="77777777" w:rsidTr="00994C51">
        <w:trPr>
          <w:jc w:val="center"/>
        </w:trPr>
        <w:tc>
          <w:tcPr>
            <w:tcW w:w="1848" w:type="dxa"/>
            <w:tcBorders>
              <w:top w:val="double" w:sz="4" w:space="0" w:color="auto"/>
            </w:tcBorders>
            <w:shd w:val="clear" w:color="auto" w:fill="auto"/>
          </w:tcPr>
          <w:p w14:paraId="13918669"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Delta</w:t>
            </w:r>
          </w:p>
        </w:tc>
        <w:tc>
          <w:tcPr>
            <w:tcW w:w="3478" w:type="dxa"/>
            <w:tcBorders>
              <w:top w:val="double" w:sz="4" w:space="0" w:color="auto"/>
            </w:tcBorders>
            <w:shd w:val="clear" w:color="auto" w:fill="auto"/>
          </w:tcPr>
          <w:p w14:paraId="50DE1BF9"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1st order partial derivative with respect to the relevant base risk area/ factor</w:t>
            </w:r>
          </w:p>
        </w:tc>
        <w:tc>
          <w:tcPr>
            <w:tcW w:w="1186" w:type="dxa"/>
            <w:tcBorders>
              <w:top w:val="double" w:sz="4" w:space="0" w:color="auto"/>
            </w:tcBorders>
            <w:shd w:val="clear" w:color="auto" w:fill="auto"/>
          </w:tcPr>
          <w:p w14:paraId="73E3FCC7"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TB, BB</w:t>
            </w:r>
          </w:p>
        </w:tc>
        <w:tc>
          <w:tcPr>
            <w:tcW w:w="2228" w:type="dxa"/>
            <w:tcBorders>
              <w:top w:val="double" w:sz="4" w:space="0" w:color="auto"/>
            </w:tcBorders>
            <w:shd w:val="clear" w:color="auto" w:fill="auto"/>
          </w:tcPr>
          <w:p w14:paraId="0C65543C"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Options, Forwards, Swaps, Bonds, ABS, Equity and Funds</w:t>
            </w:r>
          </w:p>
        </w:tc>
      </w:tr>
      <w:tr w:rsidR="005F106D" w:rsidRPr="00DA7242" w14:paraId="3D2D2360" w14:textId="77777777" w:rsidTr="00994C51">
        <w:trPr>
          <w:jc w:val="center"/>
        </w:trPr>
        <w:tc>
          <w:tcPr>
            <w:tcW w:w="1848" w:type="dxa"/>
            <w:shd w:val="clear" w:color="auto" w:fill="auto"/>
          </w:tcPr>
          <w:p w14:paraId="6047964F"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Gamma</w:t>
            </w:r>
          </w:p>
        </w:tc>
        <w:tc>
          <w:tcPr>
            <w:tcW w:w="3478" w:type="dxa"/>
            <w:shd w:val="clear" w:color="auto" w:fill="auto"/>
          </w:tcPr>
          <w:p w14:paraId="355E3415"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2nd order partial derivative with respect to the relevant base risk area/ factor</w:t>
            </w:r>
          </w:p>
        </w:tc>
        <w:tc>
          <w:tcPr>
            <w:tcW w:w="1186" w:type="dxa"/>
            <w:shd w:val="clear" w:color="auto" w:fill="auto"/>
          </w:tcPr>
          <w:p w14:paraId="7A00EC3B"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TB</w:t>
            </w:r>
          </w:p>
        </w:tc>
        <w:tc>
          <w:tcPr>
            <w:tcW w:w="2228" w:type="dxa"/>
            <w:shd w:val="clear" w:color="auto" w:fill="auto"/>
          </w:tcPr>
          <w:p w14:paraId="10739523"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Options, Forwards, Swaps, Bonds, ABS, Equity and Funds</w:t>
            </w:r>
          </w:p>
        </w:tc>
      </w:tr>
      <w:tr w:rsidR="005F106D" w:rsidRPr="00DA7242" w14:paraId="2CC52929" w14:textId="77777777" w:rsidTr="00994C51">
        <w:trPr>
          <w:jc w:val="center"/>
        </w:trPr>
        <w:tc>
          <w:tcPr>
            <w:tcW w:w="1848" w:type="dxa"/>
            <w:tcBorders>
              <w:bottom w:val="single" w:sz="4" w:space="0" w:color="auto"/>
            </w:tcBorders>
            <w:shd w:val="clear" w:color="auto" w:fill="auto"/>
          </w:tcPr>
          <w:p w14:paraId="07B2F48B"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Vega</w:t>
            </w:r>
          </w:p>
        </w:tc>
        <w:tc>
          <w:tcPr>
            <w:tcW w:w="3478" w:type="dxa"/>
            <w:tcBorders>
              <w:bottom w:val="single" w:sz="4" w:space="0" w:color="auto"/>
            </w:tcBorders>
            <w:shd w:val="clear" w:color="auto" w:fill="auto"/>
          </w:tcPr>
          <w:p w14:paraId="775C23BA"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1st order partial derivative with respect to the volatility of the relevant base risk area/ factor</w:t>
            </w:r>
          </w:p>
        </w:tc>
        <w:tc>
          <w:tcPr>
            <w:tcW w:w="1186" w:type="dxa"/>
            <w:tcBorders>
              <w:bottom w:val="single" w:sz="4" w:space="0" w:color="auto"/>
            </w:tcBorders>
            <w:shd w:val="clear" w:color="auto" w:fill="auto"/>
          </w:tcPr>
          <w:p w14:paraId="24D38F5B"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TB</w:t>
            </w:r>
          </w:p>
        </w:tc>
        <w:tc>
          <w:tcPr>
            <w:tcW w:w="2228" w:type="dxa"/>
            <w:tcBorders>
              <w:bottom w:val="single" w:sz="4" w:space="0" w:color="auto"/>
            </w:tcBorders>
            <w:shd w:val="clear" w:color="auto" w:fill="auto"/>
          </w:tcPr>
          <w:p w14:paraId="632F6867"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Options</w:t>
            </w:r>
          </w:p>
        </w:tc>
      </w:tr>
      <w:tr w:rsidR="005F106D" w:rsidRPr="00DA7242" w14:paraId="0E48C6D2" w14:textId="77777777" w:rsidTr="00991C03">
        <w:trPr>
          <w:trHeight w:val="689"/>
          <w:jc w:val="center"/>
        </w:trPr>
        <w:tc>
          <w:tcPr>
            <w:tcW w:w="8740" w:type="dxa"/>
            <w:gridSpan w:val="4"/>
            <w:tcBorders>
              <w:top w:val="single" w:sz="4" w:space="0" w:color="auto"/>
            </w:tcBorders>
            <w:shd w:val="clear" w:color="auto" w:fill="auto"/>
          </w:tcPr>
          <w:p w14:paraId="22C8D965" w14:textId="77777777" w:rsidR="005F106D" w:rsidRPr="00DA7242" w:rsidRDefault="005F106D" w:rsidP="00994C51">
            <w:pPr>
              <w:pStyle w:val="norm"/>
              <w:spacing w:line="240" w:lineRule="auto"/>
              <w:jc w:val="left"/>
              <w:rPr>
                <w:rFonts w:ascii="Arial" w:hAnsi="Arial" w:cs="Arial"/>
                <w:sz w:val="20"/>
                <w:szCs w:val="20"/>
              </w:rPr>
            </w:pPr>
          </w:p>
        </w:tc>
      </w:tr>
    </w:tbl>
    <w:p w14:paraId="5185A12F" w14:textId="5CDC63ED" w:rsidR="005A4A21" w:rsidRPr="00DA7242" w:rsidRDefault="005F106D">
      <w:pPr>
        <w:jc w:val="both"/>
        <w:rPr>
          <w:rFonts w:ascii="Arial" w:hAnsi="Arial" w:cs="Arial"/>
          <w:sz w:val="20"/>
          <w:szCs w:val="20"/>
        </w:rPr>
      </w:pPr>
      <w:r w:rsidRPr="00DA7242">
        <w:rPr>
          <w:rFonts w:ascii="Arial" w:hAnsi="Arial" w:cs="Arial"/>
          <w:sz w:val="20"/>
          <w:szCs w:val="20"/>
        </w:rPr>
        <w:t>For additional information regarding the calculation of sensitivities, please check the STE SREP reporting instructions.</w:t>
      </w:r>
      <w:r w:rsidR="00247C65" w:rsidRPr="00247C65">
        <w:rPr>
          <w:rFonts w:ascii="Arial" w:hAnsi="Arial" w:cs="Arial"/>
          <w:sz w:val="20"/>
          <w:szCs w:val="20"/>
        </w:rPr>
        <w:t xml:space="preserve"> </w:t>
      </w:r>
      <w:r w:rsidR="005A4A21" w:rsidRPr="00DA7242">
        <w:rPr>
          <w:rFonts w:ascii="Arial" w:hAnsi="Arial" w:cs="Arial"/>
          <w:sz w:val="20"/>
          <w:szCs w:val="20"/>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8505"/>
      </w:tblGrid>
      <w:tr w:rsidR="005F106D" w:rsidRPr="00DA7242" w14:paraId="11F6704B"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CCCCCC"/>
            <w:hideMark/>
          </w:tcPr>
          <w:p w14:paraId="3CC2C643"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05" w:type="dxa"/>
            <w:tcBorders>
              <w:top w:val="single" w:sz="4" w:space="0" w:color="auto"/>
              <w:left w:val="single" w:sz="4" w:space="0" w:color="auto"/>
              <w:bottom w:val="single" w:sz="4" w:space="0" w:color="auto"/>
              <w:right w:val="single" w:sz="4" w:space="0" w:color="auto"/>
            </w:tcBorders>
            <w:shd w:val="clear" w:color="auto" w:fill="CCCCCC"/>
            <w:hideMark/>
          </w:tcPr>
          <w:p w14:paraId="173CC8F7"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4B262C19"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63EA87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tcPr>
          <w:p w14:paraId="1CD0BD9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Book - Delta</w:t>
            </w:r>
          </w:p>
          <w:p w14:paraId="0F04EDDF" w14:textId="724E2C66"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 sensitivities for the positions in the Trading Book</w:t>
            </w:r>
            <w:r w:rsidR="00DA11B2" w:rsidRPr="00DA7242">
              <w:rPr>
                <w:rFonts w:ascii="Arial" w:eastAsia="Times New Roman" w:hAnsi="Arial" w:cs="Arial"/>
                <w:sz w:val="20"/>
                <w:szCs w:val="20"/>
              </w:rPr>
              <w:t xml:space="preserve"> (for IR, Equity, Credit, Commodity, FX)</w:t>
            </w:r>
          </w:p>
        </w:tc>
      </w:tr>
      <w:tr w:rsidR="005F106D" w:rsidRPr="00DA7242" w14:paraId="517B06A9"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9BB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B4187A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Book - Gamma</w:t>
            </w:r>
          </w:p>
          <w:p w14:paraId="4BFD5A38" w14:textId="1CFC3BF4" w:rsidR="005F106D" w:rsidRPr="00DA7242" w:rsidRDefault="005F106D" w:rsidP="00091F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Gamma sensitivities (for </w:t>
            </w:r>
            <w:r w:rsidR="00905CCE" w:rsidRPr="002374DD">
              <w:rPr>
                <w:rFonts w:ascii="Arial" w:eastAsia="Times New Roman" w:hAnsi="Arial" w:cs="Arial"/>
                <w:sz w:val="20"/>
                <w:szCs w:val="20"/>
              </w:rPr>
              <w:t>EUR</w:t>
            </w:r>
            <w:r w:rsidR="00905CCE">
              <w:rPr>
                <w:rFonts w:ascii="Arial" w:eastAsia="Times New Roman" w:hAnsi="Arial" w:cs="Arial"/>
                <w:sz w:val="20"/>
                <w:szCs w:val="20"/>
              </w:rPr>
              <w:t xml:space="preserve"> </w:t>
            </w:r>
            <w:r w:rsidRPr="00DA7242">
              <w:rPr>
                <w:rFonts w:ascii="Arial" w:eastAsia="Times New Roman" w:hAnsi="Arial" w:cs="Arial"/>
                <w:sz w:val="20"/>
                <w:szCs w:val="20"/>
              </w:rPr>
              <w:t>IR, Equity</w:t>
            </w:r>
            <w:r w:rsidR="00091FA8" w:rsidRPr="00DA7242">
              <w:rPr>
                <w:rFonts w:ascii="Arial" w:eastAsia="Times New Roman" w:hAnsi="Arial" w:cs="Arial"/>
                <w:sz w:val="20"/>
                <w:szCs w:val="20"/>
              </w:rPr>
              <w:t>, Commodity</w:t>
            </w:r>
            <w:r w:rsidRPr="00DA7242">
              <w:rPr>
                <w:rFonts w:ascii="Arial" w:eastAsia="Times New Roman" w:hAnsi="Arial" w:cs="Arial"/>
                <w:sz w:val="20"/>
                <w:szCs w:val="20"/>
              </w:rPr>
              <w:t xml:space="preserve"> and FX) for the positions in the Trading Book</w:t>
            </w:r>
          </w:p>
        </w:tc>
      </w:tr>
      <w:tr w:rsidR="005F106D" w:rsidRPr="00DA7242" w14:paraId="663490B6"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7BB65F2"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B42EBF9"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book - Vega</w:t>
            </w:r>
          </w:p>
          <w:p w14:paraId="0163A16D" w14:textId="0327C425" w:rsidR="005F106D" w:rsidRPr="00DA7242" w:rsidRDefault="005F106D" w:rsidP="00091F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Vega sensitivities (for Equity</w:t>
            </w:r>
            <w:r w:rsidR="00091FA8" w:rsidRPr="00DA7242">
              <w:rPr>
                <w:rFonts w:ascii="Arial" w:eastAsia="Times New Roman" w:hAnsi="Arial" w:cs="Arial"/>
                <w:sz w:val="20"/>
                <w:szCs w:val="20"/>
              </w:rPr>
              <w:t>, Commodity</w:t>
            </w:r>
            <w:r w:rsidRPr="00DA7242">
              <w:rPr>
                <w:rFonts w:ascii="Arial" w:eastAsia="Times New Roman" w:hAnsi="Arial" w:cs="Arial"/>
                <w:sz w:val="20"/>
                <w:szCs w:val="20"/>
              </w:rPr>
              <w:t xml:space="preserve"> and FX) for the positions in the Trading Book</w:t>
            </w:r>
          </w:p>
        </w:tc>
      </w:tr>
      <w:tr w:rsidR="005F106D" w:rsidRPr="00DA7242" w14:paraId="5C5428F4" w14:textId="77777777" w:rsidTr="0035689D">
        <w:tc>
          <w:tcPr>
            <w:tcW w:w="1242" w:type="dxa"/>
            <w:tcBorders>
              <w:top w:val="single" w:sz="4" w:space="0" w:color="auto"/>
              <w:left w:val="single" w:sz="4" w:space="0" w:color="auto"/>
              <w:bottom w:val="single" w:sz="4" w:space="0" w:color="auto"/>
              <w:right w:val="single" w:sz="4" w:space="0" w:color="auto"/>
            </w:tcBorders>
          </w:tcPr>
          <w:p w14:paraId="09A0863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05" w:type="dxa"/>
            <w:tcBorders>
              <w:top w:val="single" w:sz="4" w:space="0" w:color="auto"/>
              <w:left w:val="single" w:sz="4" w:space="0" w:color="auto"/>
              <w:bottom w:val="single" w:sz="4" w:space="0" w:color="auto"/>
              <w:right w:val="single" w:sz="4" w:space="0" w:color="auto"/>
            </w:tcBorders>
          </w:tcPr>
          <w:p w14:paraId="6E49A0BA" w14:textId="35CF4B9E"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Banking Book –Financial Instruments measured at the fair value - Delta</w:t>
            </w:r>
          </w:p>
          <w:p w14:paraId="19A7FAF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Delta sensitivities for the positions in the banking book measured at fair value</w:t>
            </w:r>
          </w:p>
        </w:tc>
      </w:tr>
      <w:tr w:rsidR="005F106D" w:rsidRPr="00DA7242" w14:paraId="095D44AB" w14:textId="77777777" w:rsidTr="0035689D">
        <w:tc>
          <w:tcPr>
            <w:tcW w:w="1242" w:type="dxa"/>
            <w:tcBorders>
              <w:top w:val="single" w:sz="4" w:space="0" w:color="auto"/>
              <w:left w:val="single" w:sz="4" w:space="0" w:color="auto"/>
              <w:bottom w:val="single" w:sz="4" w:space="0" w:color="auto"/>
              <w:right w:val="single" w:sz="4" w:space="0" w:color="auto"/>
            </w:tcBorders>
          </w:tcPr>
          <w:p w14:paraId="23B3F43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05" w:type="dxa"/>
            <w:tcBorders>
              <w:top w:val="single" w:sz="4" w:space="0" w:color="auto"/>
              <w:left w:val="single" w:sz="4" w:space="0" w:color="auto"/>
              <w:bottom w:val="single" w:sz="4" w:space="0" w:color="auto"/>
              <w:right w:val="single" w:sz="4" w:space="0" w:color="auto"/>
            </w:tcBorders>
          </w:tcPr>
          <w:p w14:paraId="49AC476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Banking Book – </w:t>
            </w:r>
            <w:r w:rsidR="007730D3" w:rsidRPr="00DA7242">
              <w:rPr>
                <w:rFonts w:ascii="Arial" w:eastAsia="Times New Roman" w:hAnsi="Arial" w:cs="Arial"/>
                <w:b/>
                <w:sz w:val="20"/>
                <w:szCs w:val="20"/>
                <w:u w:val="single"/>
              </w:rPr>
              <w:t xml:space="preserve">Of Which: </w:t>
            </w:r>
            <w:r w:rsidRPr="00DA7242">
              <w:rPr>
                <w:rFonts w:ascii="Arial" w:eastAsia="Times New Roman" w:hAnsi="Arial" w:cs="Arial"/>
                <w:b/>
                <w:sz w:val="20"/>
                <w:szCs w:val="20"/>
                <w:u w:val="single"/>
              </w:rPr>
              <w:t>Financial Instruments measured at the fair value through other comprehensive income - Delta</w:t>
            </w:r>
          </w:p>
          <w:p w14:paraId="713B41EE"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Delta sensitivities for the positions in the Banking Book measured at fair value through other comprehensive income</w:t>
            </w:r>
          </w:p>
        </w:tc>
      </w:tr>
      <w:tr w:rsidR="005F106D" w:rsidRPr="00DA7242" w14:paraId="1F8A8880" w14:textId="77777777" w:rsidTr="0035689D">
        <w:tc>
          <w:tcPr>
            <w:tcW w:w="1242" w:type="dxa"/>
            <w:tcBorders>
              <w:top w:val="single" w:sz="4" w:space="0" w:color="auto"/>
              <w:left w:val="single" w:sz="4" w:space="0" w:color="auto"/>
              <w:bottom w:val="single" w:sz="4" w:space="0" w:color="auto"/>
              <w:right w:val="single" w:sz="4" w:space="0" w:color="auto"/>
            </w:tcBorders>
          </w:tcPr>
          <w:p w14:paraId="5A201BA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05" w:type="dxa"/>
            <w:tcBorders>
              <w:top w:val="single" w:sz="4" w:space="0" w:color="auto"/>
              <w:left w:val="single" w:sz="4" w:space="0" w:color="auto"/>
              <w:bottom w:val="single" w:sz="4" w:space="0" w:color="auto"/>
              <w:right w:val="single" w:sz="4" w:space="0" w:color="auto"/>
            </w:tcBorders>
          </w:tcPr>
          <w:p w14:paraId="1CD2A799"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Amount</w:t>
            </w:r>
          </w:p>
          <w:p w14:paraId="587453B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The objective of this column is to report the sensitivity to a change in the drift of equities (an increase of 1 </w:t>
            </w:r>
            <w:proofErr w:type="spellStart"/>
            <w:r w:rsidRPr="00DA7242">
              <w:rPr>
                <w:rFonts w:ascii="Arial" w:eastAsia="Times New Roman" w:hAnsi="Arial" w:cs="Arial"/>
                <w:sz w:val="20"/>
                <w:szCs w:val="20"/>
              </w:rPr>
              <w:t>bp</w:t>
            </w:r>
            <w:proofErr w:type="spellEnd"/>
            <w:r w:rsidRPr="00DA7242">
              <w:rPr>
                <w:rFonts w:ascii="Arial" w:eastAsia="Times New Roman" w:hAnsi="Arial" w:cs="Arial"/>
                <w:sz w:val="20"/>
                <w:szCs w:val="20"/>
              </w:rPr>
              <w:t xml:space="preserve"> p.a. in the dividends rate) or to a change of 1 percentage point in implied correlation (i.e. the correlation between every couple of underlying equities is assumed to be increased by one percentage point).</w:t>
            </w:r>
          </w:p>
          <w:p w14:paraId="01BBDFEF" w14:textId="77777777" w:rsidR="005F106D" w:rsidRPr="00DA7242" w:rsidRDefault="005F106D" w:rsidP="00994C51">
            <w:pPr>
              <w:spacing w:before="120" w:after="120" w:line="240" w:lineRule="auto"/>
              <w:jc w:val="both"/>
              <w:rPr>
                <w:rFonts w:ascii="Arial" w:eastAsia="Times New Roman" w:hAnsi="Arial" w:cs="Arial"/>
                <w:sz w:val="20"/>
                <w:szCs w:val="20"/>
                <w:u w:val="single"/>
              </w:rPr>
            </w:pPr>
            <w:proofErr w:type="spellStart"/>
            <w:r w:rsidRPr="00DA7242">
              <w:rPr>
                <w:rFonts w:ascii="Arial" w:eastAsia="Times New Roman" w:hAnsi="Arial" w:cs="Arial"/>
                <w:sz w:val="20"/>
                <w:szCs w:val="20"/>
              </w:rPr>
              <w:t>N.b.</w:t>
            </w:r>
            <w:proofErr w:type="spellEnd"/>
            <w:r w:rsidRPr="00DA7242">
              <w:rPr>
                <w:rFonts w:ascii="Arial" w:eastAsia="Times New Roman" w:hAnsi="Arial" w:cs="Arial"/>
                <w:sz w:val="20"/>
                <w:szCs w:val="20"/>
              </w:rPr>
              <w:t>: if the dividends are input in banks internal models as cash amounts, the respective sensitivity should be computed based on a 1% upward shift in the respective amounts.</w:t>
            </w:r>
          </w:p>
        </w:tc>
      </w:tr>
    </w:tbl>
    <w:p w14:paraId="20A36494"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0D7B31E7"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37565696"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064483A6"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22C8A009" w14:textId="77777777" w:rsidTr="0035689D">
        <w:tc>
          <w:tcPr>
            <w:tcW w:w="1188" w:type="dxa"/>
            <w:tcBorders>
              <w:top w:val="single" w:sz="4" w:space="0" w:color="auto"/>
              <w:left w:val="single" w:sz="4" w:space="0" w:color="auto"/>
              <w:bottom w:val="single" w:sz="4" w:space="0" w:color="auto"/>
              <w:right w:val="single" w:sz="4" w:space="0" w:color="auto"/>
            </w:tcBorders>
          </w:tcPr>
          <w:p w14:paraId="4A36200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0110</w:t>
            </w:r>
          </w:p>
        </w:tc>
        <w:tc>
          <w:tcPr>
            <w:tcW w:w="8559" w:type="dxa"/>
            <w:tcBorders>
              <w:top w:val="single" w:sz="4" w:space="0" w:color="auto"/>
              <w:left w:val="single" w:sz="4" w:space="0" w:color="auto"/>
              <w:bottom w:val="single" w:sz="4" w:space="0" w:color="auto"/>
              <w:right w:val="single" w:sz="4" w:space="0" w:color="auto"/>
            </w:tcBorders>
          </w:tcPr>
          <w:p w14:paraId="1978178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IR - EUR</w:t>
            </w:r>
          </w:p>
          <w:p w14:paraId="2F2B14C5" w14:textId="29C6A15B" w:rsidR="005F106D" w:rsidRPr="00DA7242" w:rsidRDefault="005F106D" w:rsidP="006024D8">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 xml:space="preserve">Delta and </w:t>
            </w:r>
            <w:r w:rsidR="00905CCE" w:rsidRPr="002374DD">
              <w:rPr>
                <w:rFonts w:ascii="Arial" w:eastAsia="Times New Roman" w:hAnsi="Arial" w:cs="Arial"/>
                <w:sz w:val="20"/>
                <w:szCs w:val="20"/>
              </w:rPr>
              <w:t>Gamma</w:t>
            </w:r>
            <w:r w:rsidR="006024D8">
              <w:rPr>
                <w:rFonts w:ascii="Arial" w:eastAsia="Times New Roman" w:hAnsi="Arial" w:cs="Arial"/>
                <w:sz w:val="20"/>
                <w:szCs w:val="20"/>
              </w:rPr>
              <w:t xml:space="preserve"> </w:t>
            </w:r>
            <w:r w:rsidRPr="00DA7242">
              <w:rPr>
                <w:rFonts w:ascii="Arial" w:eastAsia="Times New Roman" w:hAnsi="Arial" w:cs="Arial"/>
                <w:sz w:val="20"/>
                <w:szCs w:val="20"/>
              </w:rPr>
              <w:t>sensitivities for the risk factors of USD IR Curve For the purpose of this data collection, it must be calculated as the sum of the sensitivities to the different tenors calculated for STE SREP template.</w:t>
            </w:r>
          </w:p>
        </w:tc>
      </w:tr>
      <w:tr w:rsidR="005F106D" w:rsidRPr="00DA7242" w14:paraId="769AB2FF" w14:textId="77777777" w:rsidTr="0035689D">
        <w:tc>
          <w:tcPr>
            <w:tcW w:w="1188" w:type="dxa"/>
            <w:tcBorders>
              <w:top w:val="single" w:sz="4" w:space="0" w:color="auto"/>
              <w:left w:val="single" w:sz="4" w:space="0" w:color="auto"/>
              <w:bottom w:val="single" w:sz="4" w:space="0" w:color="auto"/>
              <w:right w:val="single" w:sz="4" w:space="0" w:color="auto"/>
            </w:tcBorders>
          </w:tcPr>
          <w:p w14:paraId="05B0444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0120</w:t>
            </w:r>
          </w:p>
        </w:tc>
        <w:tc>
          <w:tcPr>
            <w:tcW w:w="8559" w:type="dxa"/>
            <w:tcBorders>
              <w:top w:val="single" w:sz="4" w:space="0" w:color="auto"/>
              <w:left w:val="single" w:sz="4" w:space="0" w:color="auto"/>
              <w:bottom w:val="single" w:sz="4" w:space="0" w:color="auto"/>
              <w:right w:val="single" w:sz="4" w:space="0" w:color="auto"/>
            </w:tcBorders>
          </w:tcPr>
          <w:p w14:paraId="5638047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IR - USD</w:t>
            </w:r>
          </w:p>
          <w:p w14:paraId="3E0F9382" w14:textId="4428DC3A" w:rsidR="005F106D" w:rsidRPr="00DA7242" w:rsidRDefault="005F106D" w:rsidP="006024D8">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 xml:space="preserve">Delta sensitivities for the risk factors of USD IR Curve.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25334DD2" w14:textId="77777777" w:rsidTr="0035689D">
        <w:tc>
          <w:tcPr>
            <w:tcW w:w="1188" w:type="dxa"/>
            <w:tcBorders>
              <w:top w:val="single" w:sz="4" w:space="0" w:color="auto"/>
              <w:left w:val="single" w:sz="4" w:space="0" w:color="auto"/>
              <w:bottom w:val="single" w:sz="4" w:space="0" w:color="auto"/>
              <w:right w:val="single" w:sz="4" w:space="0" w:color="auto"/>
            </w:tcBorders>
          </w:tcPr>
          <w:p w14:paraId="27D1D97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0130</w:t>
            </w:r>
          </w:p>
        </w:tc>
        <w:tc>
          <w:tcPr>
            <w:tcW w:w="8559" w:type="dxa"/>
            <w:tcBorders>
              <w:top w:val="single" w:sz="4" w:space="0" w:color="auto"/>
              <w:left w:val="single" w:sz="4" w:space="0" w:color="auto"/>
              <w:bottom w:val="single" w:sz="4" w:space="0" w:color="auto"/>
              <w:right w:val="single" w:sz="4" w:space="0" w:color="auto"/>
            </w:tcBorders>
          </w:tcPr>
          <w:p w14:paraId="3891B68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IR - Other</w:t>
            </w:r>
          </w:p>
          <w:p w14:paraId="49142745" w14:textId="6E957170" w:rsidR="005F106D" w:rsidRPr="00DA7242" w:rsidRDefault="005F106D" w:rsidP="006024D8">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Delta sensitivities for the risk factors of other IR Curves (i.e. others that the ones captured in rows 0010, 0020, 0030.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7C1E85BB" w14:textId="77777777" w:rsidTr="0035689D">
        <w:tc>
          <w:tcPr>
            <w:tcW w:w="1188" w:type="dxa"/>
            <w:tcBorders>
              <w:top w:val="single" w:sz="4" w:space="0" w:color="auto"/>
              <w:left w:val="single" w:sz="4" w:space="0" w:color="auto"/>
              <w:bottom w:val="single" w:sz="4" w:space="0" w:color="auto"/>
              <w:right w:val="single" w:sz="4" w:space="0" w:color="auto"/>
            </w:tcBorders>
          </w:tcPr>
          <w:p w14:paraId="3C3D3D4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0140</w:t>
            </w:r>
          </w:p>
        </w:tc>
        <w:tc>
          <w:tcPr>
            <w:tcW w:w="8559" w:type="dxa"/>
            <w:tcBorders>
              <w:top w:val="single" w:sz="4" w:space="0" w:color="auto"/>
              <w:left w:val="single" w:sz="4" w:space="0" w:color="auto"/>
              <w:bottom w:val="single" w:sz="4" w:space="0" w:color="auto"/>
              <w:right w:val="single" w:sz="4" w:space="0" w:color="auto"/>
            </w:tcBorders>
          </w:tcPr>
          <w:p w14:paraId="14643A9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 - Europe</w:t>
            </w:r>
          </w:p>
          <w:p w14:paraId="64286102"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Vega and Curvature sensitivities for the EQ risk factors of European market.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2CDF631F" w14:textId="77777777" w:rsidTr="0035689D">
        <w:tc>
          <w:tcPr>
            <w:tcW w:w="1188" w:type="dxa"/>
            <w:tcBorders>
              <w:top w:val="single" w:sz="4" w:space="0" w:color="auto"/>
              <w:left w:val="single" w:sz="4" w:space="0" w:color="auto"/>
              <w:bottom w:val="single" w:sz="4" w:space="0" w:color="auto"/>
              <w:right w:val="single" w:sz="4" w:space="0" w:color="auto"/>
            </w:tcBorders>
          </w:tcPr>
          <w:p w14:paraId="39FD486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0150</w:t>
            </w:r>
          </w:p>
        </w:tc>
        <w:tc>
          <w:tcPr>
            <w:tcW w:w="8559" w:type="dxa"/>
            <w:tcBorders>
              <w:top w:val="single" w:sz="4" w:space="0" w:color="auto"/>
              <w:left w:val="single" w:sz="4" w:space="0" w:color="auto"/>
              <w:bottom w:val="single" w:sz="4" w:space="0" w:color="auto"/>
              <w:right w:val="single" w:sz="4" w:space="0" w:color="auto"/>
            </w:tcBorders>
          </w:tcPr>
          <w:p w14:paraId="44CE650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 – US</w:t>
            </w:r>
          </w:p>
          <w:p w14:paraId="3D0611A3"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Vega and Curvature sensitivities for the EQ risk factors of US market.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29358EBC" w14:textId="77777777" w:rsidTr="0035689D">
        <w:tc>
          <w:tcPr>
            <w:tcW w:w="1188" w:type="dxa"/>
            <w:tcBorders>
              <w:top w:val="single" w:sz="4" w:space="0" w:color="auto"/>
              <w:left w:val="single" w:sz="4" w:space="0" w:color="auto"/>
              <w:bottom w:val="single" w:sz="4" w:space="0" w:color="auto"/>
              <w:right w:val="single" w:sz="4" w:space="0" w:color="auto"/>
            </w:tcBorders>
          </w:tcPr>
          <w:p w14:paraId="10EA6BF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0160</w:t>
            </w:r>
          </w:p>
        </w:tc>
        <w:tc>
          <w:tcPr>
            <w:tcW w:w="8559" w:type="dxa"/>
            <w:tcBorders>
              <w:top w:val="single" w:sz="4" w:space="0" w:color="auto"/>
              <w:left w:val="single" w:sz="4" w:space="0" w:color="auto"/>
              <w:bottom w:val="single" w:sz="4" w:space="0" w:color="auto"/>
              <w:right w:val="single" w:sz="4" w:space="0" w:color="auto"/>
            </w:tcBorders>
          </w:tcPr>
          <w:p w14:paraId="0C3D869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 - Other</w:t>
            </w:r>
          </w:p>
          <w:p w14:paraId="2F60A20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 Vega and Curvature sensitivities for the EQ risk factors of the rest of geographic areas calculated for STE SREP template (i.e. Japan, Asia ex-Japan, Latin America, All other relevant indices).</w:t>
            </w:r>
          </w:p>
        </w:tc>
      </w:tr>
      <w:tr w:rsidR="005F106D" w:rsidRPr="00DA7242" w14:paraId="3959B2EC" w14:textId="77777777" w:rsidTr="0035689D">
        <w:tc>
          <w:tcPr>
            <w:tcW w:w="1188" w:type="dxa"/>
            <w:tcBorders>
              <w:top w:val="single" w:sz="4" w:space="0" w:color="auto"/>
              <w:left w:val="single" w:sz="4" w:space="0" w:color="auto"/>
              <w:bottom w:val="single" w:sz="4" w:space="0" w:color="auto"/>
              <w:right w:val="single" w:sz="4" w:space="0" w:color="auto"/>
            </w:tcBorders>
          </w:tcPr>
          <w:p w14:paraId="06B19D1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0180</w:t>
            </w:r>
          </w:p>
        </w:tc>
        <w:tc>
          <w:tcPr>
            <w:tcW w:w="8559" w:type="dxa"/>
            <w:tcBorders>
              <w:top w:val="single" w:sz="4" w:space="0" w:color="auto"/>
              <w:left w:val="single" w:sz="4" w:space="0" w:color="auto"/>
              <w:bottom w:val="single" w:sz="4" w:space="0" w:color="auto"/>
              <w:right w:val="single" w:sz="4" w:space="0" w:color="auto"/>
            </w:tcBorders>
          </w:tcPr>
          <w:p w14:paraId="66E51AB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Sovereign Home country</w:t>
            </w:r>
          </w:p>
          <w:p w14:paraId="7E3E5BEE"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movement of the credit spread for the positions in sovereign debt of the home country.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3548E17B" w14:textId="77777777" w:rsidTr="0035689D">
        <w:tc>
          <w:tcPr>
            <w:tcW w:w="1188" w:type="dxa"/>
            <w:tcBorders>
              <w:top w:val="single" w:sz="4" w:space="0" w:color="auto"/>
              <w:left w:val="single" w:sz="4" w:space="0" w:color="auto"/>
              <w:bottom w:val="single" w:sz="4" w:space="0" w:color="auto"/>
              <w:right w:val="single" w:sz="4" w:space="0" w:color="auto"/>
            </w:tcBorders>
          </w:tcPr>
          <w:p w14:paraId="4131CC2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0190</w:t>
            </w:r>
          </w:p>
        </w:tc>
        <w:tc>
          <w:tcPr>
            <w:tcW w:w="8559" w:type="dxa"/>
            <w:tcBorders>
              <w:top w:val="single" w:sz="4" w:space="0" w:color="auto"/>
              <w:left w:val="single" w:sz="4" w:space="0" w:color="auto"/>
              <w:bottom w:val="single" w:sz="4" w:space="0" w:color="auto"/>
              <w:right w:val="single" w:sz="4" w:space="0" w:color="auto"/>
            </w:tcBorders>
          </w:tcPr>
          <w:p w14:paraId="2E717B1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Sovereign Euro area (exc. Home country)</w:t>
            </w:r>
          </w:p>
          <w:p w14:paraId="528AE390"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for the positions in sovereign debt of the rest of Euro area countries.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10A0DB76" w14:textId="77777777" w:rsidTr="0035689D">
        <w:tc>
          <w:tcPr>
            <w:tcW w:w="1188" w:type="dxa"/>
            <w:tcBorders>
              <w:top w:val="single" w:sz="4" w:space="0" w:color="auto"/>
              <w:left w:val="single" w:sz="4" w:space="0" w:color="auto"/>
              <w:bottom w:val="single" w:sz="4" w:space="0" w:color="auto"/>
              <w:right w:val="single" w:sz="4" w:space="0" w:color="auto"/>
            </w:tcBorders>
          </w:tcPr>
          <w:p w14:paraId="47FF012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0200</w:t>
            </w:r>
          </w:p>
        </w:tc>
        <w:tc>
          <w:tcPr>
            <w:tcW w:w="8559" w:type="dxa"/>
            <w:tcBorders>
              <w:top w:val="single" w:sz="4" w:space="0" w:color="auto"/>
              <w:left w:val="single" w:sz="4" w:space="0" w:color="auto"/>
              <w:bottom w:val="single" w:sz="4" w:space="0" w:color="auto"/>
              <w:right w:val="single" w:sz="4" w:space="0" w:color="auto"/>
            </w:tcBorders>
          </w:tcPr>
          <w:p w14:paraId="1CDCFED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Sovereign US</w:t>
            </w:r>
          </w:p>
          <w:p w14:paraId="6529D36D"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for the positions in US sovereign debt.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2C02CDDC" w14:textId="77777777" w:rsidTr="0035689D">
        <w:tc>
          <w:tcPr>
            <w:tcW w:w="1188" w:type="dxa"/>
            <w:tcBorders>
              <w:top w:val="single" w:sz="4" w:space="0" w:color="auto"/>
              <w:left w:val="single" w:sz="4" w:space="0" w:color="auto"/>
              <w:bottom w:val="single" w:sz="4" w:space="0" w:color="auto"/>
              <w:right w:val="single" w:sz="4" w:space="0" w:color="auto"/>
            </w:tcBorders>
          </w:tcPr>
          <w:p w14:paraId="060FEFB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0210</w:t>
            </w:r>
          </w:p>
        </w:tc>
        <w:tc>
          <w:tcPr>
            <w:tcW w:w="8559" w:type="dxa"/>
            <w:tcBorders>
              <w:top w:val="single" w:sz="4" w:space="0" w:color="auto"/>
              <w:left w:val="single" w:sz="4" w:space="0" w:color="auto"/>
              <w:bottom w:val="single" w:sz="4" w:space="0" w:color="auto"/>
              <w:right w:val="single" w:sz="4" w:space="0" w:color="auto"/>
            </w:tcBorders>
          </w:tcPr>
          <w:p w14:paraId="2C6B517D"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SPR </w:t>
            </w:r>
            <w:r w:rsidR="006948A2" w:rsidRPr="00DA7242">
              <w:rPr>
                <w:rFonts w:ascii="Arial" w:eastAsia="Times New Roman" w:hAnsi="Arial" w:cs="Arial"/>
                <w:b/>
                <w:sz w:val="20"/>
                <w:szCs w:val="20"/>
                <w:u w:val="single"/>
              </w:rPr>
              <w:t>–</w:t>
            </w:r>
            <w:r w:rsidRPr="00DA7242">
              <w:rPr>
                <w:rFonts w:ascii="Arial" w:eastAsia="Times New Roman" w:hAnsi="Arial" w:cs="Arial"/>
                <w:b/>
                <w:sz w:val="20"/>
                <w:szCs w:val="20"/>
                <w:u w:val="single"/>
              </w:rPr>
              <w:t xml:space="preserve"> Sovereign</w:t>
            </w:r>
            <w:r w:rsidR="006948A2" w:rsidRPr="00DA7242">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Other</w:t>
            </w:r>
          </w:p>
          <w:p w14:paraId="2C21E960"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Delta sensitivity to the movement of the credit spread for the positions in sovereigns.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credit spread of all the sovereign obligors of the rest of geographic areas calculated for STE SREP template (i.e. rest of Europe incl. Russia, Latin America, Asia, Other residual).</w:t>
            </w:r>
          </w:p>
        </w:tc>
      </w:tr>
      <w:tr w:rsidR="005F106D" w:rsidRPr="00DA7242" w14:paraId="15605C52" w14:textId="77777777" w:rsidTr="0035689D">
        <w:tc>
          <w:tcPr>
            <w:tcW w:w="1188" w:type="dxa"/>
            <w:tcBorders>
              <w:top w:val="single" w:sz="4" w:space="0" w:color="auto"/>
              <w:left w:val="single" w:sz="4" w:space="0" w:color="auto"/>
              <w:bottom w:val="single" w:sz="4" w:space="0" w:color="auto"/>
              <w:right w:val="single" w:sz="4" w:space="0" w:color="auto"/>
            </w:tcBorders>
          </w:tcPr>
          <w:p w14:paraId="02A03D6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0230</w:t>
            </w:r>
          </w:p>
        </w:tc>
        <w:tc>
          <w:tcPr>
            <w:tcW w:w="8559" w:type="dxa"/>
            <w:tcBorders>
              <w:top w:val="single" w:sz="4" w:space="0" w:color="auto"/>
              <w:left w:val="single" w:sz="4" w:space="0" w:color="auto"/>
              <w:bottom w:val="single" w:sz="4" w:space="0" w:color="auto"/>
              <w:right w:val="single" w:sz="4" w:space="0" w:color="auto"/>
            </w:tcBorders>
          </w:tcPr>
          <w:p w14:paraId="5861438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Corporate Financials</w:t>
            </w:r>
          </w:p>
          <w:p w14:paraId="26689672"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of the debt of financial obligors.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 (i.e. Corporate 0-5y - Financials, Corporate over 5y Financials).</w:t>
            </w:r>
          </w:p>
        </w:tc>
      </w:tr>
      <w:tr w:rsidR="005F106D" w:rsidRPr="00DA7242" w14:paraId="66A4865F" w14:textId="77777777" w:rsidTr="0035689D">
        <w:tc>
          <w:tcPr>
            <w:tcW w:w="1188" w:type="dxa"/>
            <w:tcBorders>
              <w:top w:val="single" w:sz="4" w:space="0" w:color="auto"/>
              <w:left w:val="single" w:sz="4" w:space="0" w:color="auto"/>
              <w:bottom w:val="single" w:sz="4" w:space="0" w:color="auto"/>
              <w:right w:val="single" w:sz="4" w:space="0" w:color="auto"/>
            </w:tcBorders>
          </w:tcPr>
          <w:p w14:paraId="2CC2858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0240</w:t>
            </w:r>
          </w:p>
        </w:tc>
        <w:tc>
          <w:tcPr>
            <w:tcW w:w="8559" w:type="dxa"/>
            <w:tcBorders>
              <w:top w:val="single" w:sz="4" w:space="0" w:color="auto"/>
              <w:left w:val="single" w:sz="4" w:space="0" w:color="auto"/>
              <w:bottom w:val="single" w:sz="4" w:space="0" w:color="auto"/>
              <w:right w:val="single" w:sz="4" w:space="0" w:color="auto"/>
            </w:tcBorders>
          </w:tcPr>
          <w:p w14:paraId="3D88D69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SPR – Corporate </w:t>
            </w:r>
            <w:r w:rsidR="006948A2" w:rsidRPr="00DA7242">
              <w:rPr>
                <w:rFonts w:ascii="Arial" w:eastAsia="Times New Roman" w:hAnsi="Arial" w:cs="Arial"/>
                <w:b/>
                <w:sz w:val="20"/>
                <w:szCs w:val="20"/>
                <w:u w:val="single"/>
              </w:rPr>
              <w:t>N</w:t>
            </w:r>
            <w:r w:rsidRPr="00DA7242">
              <w:rPr>
                <w:rFonts w:ascii="Arial" w:eastAsia="Times New Roman" w:hAnsi="Arial" w:cs="Arial"/>
                <w:b/>
                <w:sz w:val="20"/>
                <w:szCs w:val="20"/>
                <w:u w:val="single"/>
              </w:rPr>
              <w:t>on – Financials</w:t>
            </w:r>
          </w:p>
          <w:p w14:paraId="459E580B"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of the debt of non-financial obligors.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 (i.e. Corporate 0-5y – Non-Financials, Corporate over 5y Non-Financials).</w:t>
            </w:r>
          </w:p>
        </w:tc>
      </w:tr>
      <w:tr w:rsidR="005F106D" w:rsidRPr="00DA7242" w14:paraId="14747400" w14:textId="77777777" w:rsidTr="0035689D">
        <w:tc>
          <w:tcPr>
            <w:tcW w:w="1188" w:type="dxa"/>
            <w:tcBorders>
              <w:top w:val="single" w:sz="4" w:space="0" w:color="auto"/>
              <w:left w:val="single" w:sz="4" w:space="0" w:color="auto"/>
              <w:bottom w:val="single" w:sz="4" w:space="0" w:color="auto"/>
              <w:right w:val="single" w:sz="4" w:space="0" w:color="auto"/>
            </w:tcBorders>
          </w:tcPr>
          <w:p w14:paraId="50C3C55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0250</w:t>
            </w:r>
          </w:p>
        </w:tc>
        <w:tc>
          <w:tcPr>
            <w:tcW w:w="8559" w:type="dxa"/>
            <w:tcBorders>
              <w:top w:val="single" w:sz="4" w:space="0" w:color="auto"/>
              <w:left w:val="single" w:sz="4" w:space="0" w:color="auto"/>
              <w:bottom w:val="single" w:sz="4" w:space="0" w:color="auto"/>
              <w:right w:val="single" w:sz="4" w:space="0" w:color="auto"/>
            </w:tcBorders>
          </w:tcPr>
          <w:p w14:paraId="0175E0B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CM – Total</w:t>
            </w:r>
          </w:p>
          <w:p w14:paraId="22398A1E" w14:textId="07DAFEEF" w:rsidR="005F106D" w:rsidRPr="00DA7242" w:rsidRDefault="005F106D" w:rsidP="00DD332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w:t>
            </w:r>
            <w:r w:rsidR="00DD3328">
              <w:rPr>
                <w:rFonts w:ascii="Arial" w:eastAsia="Times New Roman" w:hAnsi="Arial" w:cs="Arial"/>
                <w:sz w:val="20"/>
                <w:szCs w:val="20"/>
              </w:rPr>
              <w:t xml:space="preserve">, </w:t>
            </w:r>
            <w:r w:rsidR="00DD3328" w:rsidRPr="002374DD">
              <w:rPr>
                <w:rFonts w:ascii="Arial" w:eastAsia="Times New Roman" w:hAnsi="Arial" w:cs="Arial"/>
                <w:sz w:val="20"/>
                <w:szCs w:val="20"/>
              </w:rPr>
              <w:t>Gamma, Vega</w:t>
            </w:r>
            <w:r w:rsidRPr="00DA7242">
              <w:rPr>
                <w:rFonts w:ascii="Arial" w:eastAsia="Times New Roman" w:hAnsi="Arial" w:cs="Arial"/>
                <w:sz w:val="20"/>
                <w:szCs w:val="20"/>
              </w:rPr>
              <w:t xml:space="preserve"> sensitivity to the commodities prices.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following categories included in the STE SREP template: Precious metals (e.g. Gold, Silver), Energy (e.g. Oil, Gas), Industrial Metals, Agriculture &amp; Livestock.</w:t>
            </w:r>
          </w:p>
        </w:tc>
      </w:tr>
      <w:tr w:rsidR="005F106D" w:rsidRPr="00DA7242" w14:paraId="04A65DDA" w14:textId="77777777" w:rsidTr="0035689D">
        <w:tc>
          <w:tcPr>
            <w:tcW w:w="1188" w:type="dxa"/>
            <w:tcBorders>
              <w:top w:val="single" w:sz="4" w:space="0" w:color="auto"/>
              <w:left w:val="single" w:sz="4" w:space="0" w:color="auto"/>
              <w:bottom w:val="single" w:sz="4" w:space="0" w:color="auto"/>
              <w:right w:val="single" w:sz="4" w:space="0" w:color="auto"/>
            </w:tcBorders>
          </w:tcPr>
          <w:p w14:paraId="5292CD7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0260</w:t>
            </w:r>
          </w:p>
        </w:tc>
        <w:tc>
          <w:tcPr>
            <w:tcW w:w="8559" w:type="dxa"/>
            <w:tcBorders>
              <w:top w:val="single" w:sz="4" w:space="0" w:color="auto"/>
              <w:left w:val="single" w:sz="4" w:space="0" w:color="auto"/>
              <w:bottom w:val="single" w:sz="4" w:space="0" w:color="auto"/>
              <w:right w:val="single" w:sz="4" w:space="0" w:color="auto"/>
            </w:tcBorders>
          </w:tcPr>
          <w:p w14:paraId="64E1764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CM – Of which: Energy (e.g. Oil, Gas)</w:t>
            </w:r>
          </w:p>
          <w:p w14:paraId="3882954C" w14:textId="7772CCB2"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Delta</w:t>
            </w:r>
            <w:r w:rsidR="00DD3328">
              <w:rPr>
                <w:rFonts w:ascii="Arial" w:eastAsia="Times New Roman" w:hAnsi="Arial" w:cs="Arial"/>
                <w:sz w:val="20"/>
                <w:szCs w:val="20"/>
              </w:rPr>
              <w:t xml:space="preserve">, </w:t>
            </w:r>
            <w:r w:rsidR="00DD3328" w:rsidRPr="002374DD">
              <w:rPr>
                <w:rFonts w:ascii="Arial" w:eastAsia="Times New Roman" w:hAnsi="Arial" w:cs="Arial"/>
                <w:sz w:val="20"/>
                <w:szCs w:val="20"/>
              </w:rPr>
              <w:t>Gamma, Vega</w:t>
            </w:r>
            <w:r w:rsidRPr="00060EFB">
              <w:rPr>
                <w:rFonts w:ascii="Arial" w:eastAsia="Times New Roman" w:hAnsi="Arial" w:cs="Arial"/>
                <w:sz w:val="20"/>
                <w:szCs w:val="20"/>
              </w:rPr>
              <w:t xml:space="preserve"> sensitivity</w:t>
            </w:r>
            <w:r w:rsidRPr="00DA7242">
              <w:rPr>
                <w:rFonts w:ascii="Arial" w:eastAsia="Times New Roman" w:hAnsi="Arial" w:cs="Arial"/>
                <w:sz w:val="20"/>
                <w:szCs w:val="20"/>
              </w:rPr>
              <w:t xml:space="preserve"> to the commodities prices of the Energy sector.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7703D480" w14:textId="77777777" w:rsidTr="0035689D">
        <w:tc>
          <w:tcPr>
            <w:tcW w:w="1188" w:type="dxa"/>
            <w:tcBorders>
              <w:top w:val="single" w:sz="4" w:space="0" w:color="auto"/>
              <w:left w:val="single" w:sz="4" w:space="0" w:color="auto"/>
              <w:bottom w:val="single" w:sz="4" w:space="0" w:color="auto"/>
              <w:right w:val="single" w:sz="4" w:space="0" w:color="auto"/>
            </w:tcBorders>
          </w:tcPr>
          <w:p w14:paraId="7D6B347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0270</w:t>
            </w:r>
          </w:p>
        </w:tc>
        <w:tc>
          <w:tcPr>
            <w:tcW w:w="8559" w:type="dxa"/>
            <w:tcBorders>
              <w:top w:val="single" w:sz="4" w:space="0" w:color="auto"/>
              <w:left w:val="single" w:sz="4" w:space="0" w:color="auto"/>
              <w:bottom w:val="single" w:sz="4" w:space="0" w:color="auto"/>
              <w:right w:val="single" w:sz="4" w:space="0" w:color="auto"/>
            </w:tcBorders>
          </w:tcPr>
          <w:p w14:paraId="14C94D0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FX – EUR/USD</w:t>
            </w:r>
          </w:p>
          <w:p w14:paraId="099D6A4D"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Gamma and Vega sensitivity to the FX rate EUR/USD.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711DB129" w14:textId="77777777" w:rsidTr="0035689D">
        <w:tc>
          <w:tcPr>
            <w:tcW w:w="1188" w:type="dxa"/>
            <w:tcBorders>
              <w:top w:val="single" w:sz="4" w:space="0" w:color="auto"/>
              <w:left w:val="single" w:sz="4" w:space="0" w:color="auto"/>
              <w:bottom w:val="single" w:sz="4" w:space="0" w:color="auto"/>
              <w:right w:val="single" w:sz="4" w:space="0" w:color="auto"/>
            </w:tcBorders>
          </w:tcPr>
          <w:p w14:paraId="68FC2C1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0280</w:t>
            </w:r>
          </w:p>
        </w:tc>
        <w:tc>
          <w:tcPr>
            <w:tcW w:w="8559" w:type="dxa"/>
            <w:tcBorders>
              <w:top w:val="single" w:sz="4" w:space="0" w:color="auto"/>
              <w:left w:val="single" w:sz="4" w:space="0" w:color="auto"/>
              <w:bottom w:val="single" w:sz="4" w:space="0" w:color="auto"/>
              <w:right w:val="single" w:sz="4" w:space="0" w:color="auto"/>
            </w:tcBorders>
          </w:tcPr>
          <w:p w14:paraId="2D35008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FX – EUR/GBP</w:t>
            </w:r>
          </w:p>
          <w:p w14:paraId="6561B9B1"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Gamma and Vega sensitivity to the FX rate EUR/USD.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25F73118" w14:textId="77777777" w:rsidTr="0035689D">
        <w:tc>
          <w:tcPr>
            <w:tcW w:w="1188" w:type="dxa"/>
            <w:tcBorders>
              <w:top w:val="single" w:sz="4" w:space="0" w:color="auto"/>
              <w:left w:val="single" w:sz="4" w:space="0" w:color="auto"/>
              <w:bottom w:val="single" w:sz="4" w:space="0" w:color="auto"/>
              <w:right w:val="single" w:sz="4" w:space="0" w:color="auto"/>
            </w:tcBorders>
          </w:tcPr>
          <w:p w14:paraId="1B226762"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0290</w:t>
            </w:r>
          </w:p>
        </w:tc>
        <w:tc>
          <w:tcPr>
            <w:tcW w:w="8559" w:type="dxa"/>
            <w:tcBorders>
              <w:top w:val="single" w:sz="4" w:space="0" w:color="auto"/>
              <w:left w:val="single" w:sz="4" w:space="0" w:color="auto"/>
              <w:bottom w:val="single" w:sz="4" w:space="0" w:color="auto"/>
              <w:right w:val="single" w:sz="4" w:space="0" w:color="auto"/>
            </w:tcBorders>
          </w:tcPr>
          <w:p w14:paraId="11E4ED4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Forward Sensitivities - Europe</w:t>
            </w:r>
          </w:p>
          <w:p w14:paraId="166E7124"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54B7A874" w14:textId="77777777" w:rsidTr="0035689D">
        <w:tc>
          <w:tcPr>
            <w:tcW w:w="1188" w:type="dxa"/>
            <w:tcBorders>
              <w:top w:val="single" w:sz="4" w:space="0" w:color="auto"/>
              <w:left w:val="single" w:sz="4" w:space="0" w:color="auto"/>
              <w:bottom w:val="single" w:sz="4" w:space="0" w:color="auto"/>
              <w:right w:val="single" w:sz="4" w:space="0" w:color="auto"/>
            </w:tcBorders>
          </w:tcPr>
          <w:p w14:paraId="1723365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0300</w:t>
            </w:r>
          </w:p>
        </w:tc>
        <w:tc>
          <w:tcPr>
            <w:tcW w:w="8559" w:type="dxa"/>
            <w:tcBorders>
              <w:top w:val="single" w:sz="4" w:space="0" w:color="auto"/>
              <w:left w:val="single" w:sz="4" w:space="0" w:color="auto"/>
              <w:bottom w:val="single" w:sz="4" w:space="0" w:color="auto"/>
              <w:right w:val="single" w:sz="4" w:space="0" w:color="auto"/>
            </w:tcBorders>
          </w:tcPr>
          <w:p w14:paraId="3CE8928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Forward Sensitivities - US</w:t>
            </w:r>
          </w:p>
          <w:p w14:paraId="414A269A"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3E696F98" w14:textId="77777777" w:rsidTr="0035689D">
        <w:tc>
          <w:tcPr>
            <w:tcW w:w="1188" w:type="dxa"/>
            <w:tcBorders>
              <w:top w:val="single" w:sz="4" w:space="0" w:color="auto"/>
              <w:left w:val="single" w:sz="4" w:space="0" w:color="auto"/>
              <w:bottom w:val="single" w:sz="4" w:space="0" w:color="auto"/>
              <w:right w:val="single" w:sz="4" w:space="0" w:color="auto"/>
            </w:tcBorders>
          </w:tcPr>
          <w:p w14:paraId="24C6410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0310</w:t>
            </w:r>
          </w:p>
        </w:tc>
        <w:tc>
          <w:tcPr>
            <w:tcW w:w="8559" w:type="dxa"/>
            <w:tcBorders>
              <w:top w:val="single" w:sz="4" w:space="0" w:color="auto"/>
              <w:left w:val="single" w:sz="4" w:space="0" w:color="auto"/>
              <w:bottom w:val="single" w:sz="4" w:space="0" w:color="auto"/>
              <w:right w:val="single" w:sz="4" w:space="0" w:color="auto"/>
            </w:tcBorders>
          </w:tcPr>
          <w:p w14:paraId="64BAAAE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Forward Sensitivities - Other</w:t>
            </w:r>
          </w:p>
          <w:p w14:paraId="683B1A36"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following categories included in the STE SREP template: Japan, Asia-ex-Japan, Latin America, Indices (residual).</w:t>
            </w:r>
          </w:p>
        </w:tc>
      </w:tr>
      <w:tr w:rsidR="005F106D" w:rsidRPr="00DA7242" w14:paraId="4E4DBDF1" w14:textId="77777777" w:rsidTr="0035689D">
        <w:tc>
          <w:tcPr>
            <w:tcW w:w="1188" w:type="dxa"/>
            <w:tcBorders>
              <w:top w:val="single" w:sz="4" w:space="0" w:color="auto"/>
              <w:left w:val="single" w:sz="4" w:space="0" w:color="auto"/>
              <w:bottom w:val="single" w:sz="4" w:space="0" w:color="auto"/>
              <w:right w:val="single" w:sz="4" w:space="0" w:color="auto"/>
            </w:tcBorders>
          </w:tcPr>
          <w:p w14:paraId="6DEAFC3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0320</w:t>
            </w:r>
          </w:p>
        </w:tc>
        <w:tc>
          <w:tcPr>
            <w:tcW w:w="8559" w:type="dxa"/>
            <w:tcBorders>
              <w:top w:val="single" w:sz="4" w:space="0" w:color="auto"/>
              <w:left w:val="single" w:sz="4" w:space="0" w:color="auto"/>
              <w:bottom w:val="single" w:sz="4" w:space="0" w:color="auto"/>
              <w:right w:val="single" w:sz="4" w:space="0" w:color="auto"/>
            </w:tcBorders>
          </w:tcPr>
          <w:p w14:paraId="6ADB070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Correlation</w:t>
            </w:r>
          </w:p>
          <w:p w14:paraId="6FA955CE"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bl>
    <w:p w14:paraId="177C9501" w14:textId="77777777" w:rsidR="005F106D" w:rsidRPr="00DA7242" w:rsidRDefault="005F106D" w:rsidP="005F106D">
      <w:pPr>
        <w:jc w:val="both"/>
        <w:rPr>
          <w:rFonts w:ascii="Arial" w:hAnsi="Arial" w:cs="Arial"/>
          <w:sz w:val="20"/>
          <w:szCs w:val="20"/>
        </w:rPr>
      </w:pPr>
    </w:p>
    <w:p w14:paraId="216D01A9" w14:textId="6C94C629"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3: Trading </w:t>
      </w:r>
      <w:r w:rsidR="00BD7615" w:rsidRPr="00DA7242">
        <w:rPr>
          <w:rFonts w:ascii="Arial" w:hAnsi="Arial" w:cs="Arial"/>
          <w:b/>
          <w:sz w:val="20"/>
          <w:szCs w:val="20"/>
        </w:rPr>
        <w:t>r</w:t>
      </w:r>
      <w:r w:rsidRPr="00DA7242">
        <w:rPr>
          <w:rFonts w:ascii="Arial" w:hAnsi="Arial" w:cs="Arial"/>
          <w:b/>
          <w:sz w:val="20"/>
          <w:szCs w:val="20"/>
        </w:rPr>
        <w:t xml:space="preserve">evenue - </w:t>
      </w:r>
      <w:r w:rsidRPr="00DA7242">
        <w:rPr>
          <w:rFonts w:ascii="Arial" w:hAnsi="Arial" w:cs="Arial"/>
          <w:i/>
          <w:sz w:val="20"/>
          <w:szCs w:val="20"/>
        </w:rPr>
        <w:t>Month to date at reporting date</w:t>
      </w:r>
    </w:p>
    <w:p w14:paraId="6DE57002" w14:textId="77777777" w:rsidR="005F106D" w:rsidRPr="00DA7242" w:rsidRDefault="005F106D" w:rsidP="005F106D">
      <w:pPr>
        <w:jc w:val="both"/>
        <w:rPr>
          <w:rFonts w:ascii="Arial" w:eastAsia="Times New Roman" w:hAnsi="Arial" w:cs="Arial"/>
          <w:sz w:val="20"/>
          <w:szCs w:val="20"/>
        </w:rPr>
      </w:pPr>
      <w:r w:rsidRPr="00DA7242">
        <w:rPr>
          <w:rFonts w:ascii="Arial" w:hAnsi="Arial" w:cs="Arial"/>
          <w:sz w:val="20"/>
          <w:szCs w:val="20"/>
        </w:rPr>
        <w:t xml:space="preserve">All data points refer to month to date </w:t>
      </w:r>
      <w:r w:rsidR="00536E7B" w:rsidRPr="00DA7242">
        <w:rPr>
          <w:rFonts w:ascii="Arial" w:hAnsi="Arial" w:cs="Arial"/>
          <w:sz w:val="20"/>
          <w:szCs w:val="20"/>
        </w:rPr>
        <w:t>Revenue</w:t>
      </w:r>
      <w:r w:rsidRPr="00DA7242">
        <w:rPr>
          <w:rFonts w:ascii="Arial" w:eastAsia="Times New Roman" w:hAnsi="Arial" w:cs="Arial"/>
          <w:sz w:val="20"/>
          <w:szCs w:val="20"/>
        </w:rPr>
        <w:t xml:space="preserve"> reported in the statement of Profit and Loss related to the regulatory trading book activities.</w:t>
      </w:r>
    </w:p>
    <w:p w14:paraId="1606DEBC" w14:textId="77777777" w:rsidR="005F106D" w:rsidRPr="00DA7242" w:rsidRDefault="003E181E" w:rsidP="005F106D">
      <w:pPr>
        <w:jc w:val="both"/>
        <w:rPr>
          <w:rFonts w:ascii="Arial" w:hAnsi="Arial" w:cs="Arial"/>
          <w:sz w:val="20"/>
          <w:szCs w:val="20"/>
        </w:rPr>
      </w:pPr>
      <w:r w:rsidRPr="00DA7242">
        <w:rPr>
          <w:rFonts w:ascii="Arial" w:hAnsi="Arial" w:cs="Arial"/>
          <w:sz w:val="20"/>
          <w:szCs w:val="20"/>
        </w:rPr>
        <w:t xml:space="preserve">Institutions </w:t>
      </w:r>
      <w:r w:rsidR="000B42A0" w:rsidRPr="00DA7242">
        <w:rPr>
          <w:rFonts w:ascii="Arial" w:hAnsi="Arial" w:cs="Arial"/>
          <w:sz w:val="20"/>
          <w:szCs w:val="20"/>
        </w:rPr>
        <w:t>are expected</w:t>
      </w:r>
      <w:r w:rsidRPr="00DA7242">
        <w:rPr>
          <w:rFonts w:ascii="Arial" w:hAnsi="Arial" w:cs="Arial"/>
          <w:sz w:val="20"/>
          <w:szCs w:val="20"/>
        </w:rPr>
        <w:t xml:space="preserve"> fill the template with information related to the regulatory trading book activities. </w:t>
      </w:r>
      <w:r w:rsidR="006A558E" w:rsidRPr="00DA7242">
        <w:rPr>
          <w:rFonts w:ascii="Arial" w:hAnsi="Arial" w:cs="Arial"/>
          <w:sz w:val="20"/>
          <w:szCs w:val="20"/>
        </w:rPr>
        <w:t xml:space="preserve">On other cases </w:t>
      </w:r>
      <w:r w:rsidRPr="00DA7242">
        <w:rPr>
          <w:rFonts w:ascii="Arial" w:hAnsi="Arial" w:cs="Arial"/>
          <w:sz w:val="20"/>
          <w:szCs w:val="20"/>
        </w:rPr>
        <w:t xml:space="preserve">Institutions </w:t>
      </w:r>
      <w:r w:rsidR="000B42A0" w:rsidRPr="00DA7242">
        <w:rPr>
          <w:rFonts w:ascii="Arial" w:hAnsi="Arial" w:cs="Arial"/>
          <w:sz w:val="20"/>
          <w:szCs w:val="20"/>
        </w:rPr>
        <w:t>are expected</w:t>
      </w:r>
      <w:r w:rsidR="005F106D" w:rsidRPr="00DA7242">
        <w:rPr>
          <w:rFonts w:ascii="Arial" w:hAnsi="Arial" w:cs="Arial"/>
          <w:sz w:val="20"/>
          <w:szCs w:val="20"/>
        </w:rPr>
        <w:t xml:space="preserve"> fill this template based on </w:t>
      </w:r>
      <w:r w:rsidR="00536E7B" w:rsidRPr="00DA7242">
        <w:rPr>
          <w:rFonts w:ascii="Arial" w:hAnsi="Arial" w:cs="Arial"/>
          <w:sz w:val="20"/>
          <w:szCs w:val="20"/>
        </w:rPr>
        <w:t>Revenue</w:t>
      </w:r>
      <w:r w:rsidR="005F106D" w:rsidRPr="00DA7242">
        <w:rPr>
          <w:rFonts w:ascii="Arial" w:hAnsi="Arial" w:cs="Arial"/>
          <w:sz w:val="20"/>
          <w:szCs w:val="20"/>
        </w:rPr>
        <w:t xml:space="preserve"> calculation processes that they already have in place for their trading activities, but </w:t>
      </w:r>
      <w:r w:rsidR="000B42A0" w:rsidRPr="00DA7242">
        <w:rPr>
          <w:rFonts w:ascii="Arial" w:hAnsi="Arial" w:cs="Arial"/>
          <w:sz w:val="20"/>
          <w:szCs w:val="20"/>
        </w:rPr>
        <w:t xml:space="preserve">aiming to ensure </w:t>
      </w:r>
      <w:r w:rsidR="005F106D" w:rsidRPr="00DA7242">
        <w:rPr>
          <w:rFonts w:ascii="Arial" w:hAnsi="Arial" w:cs="Arial"/>
          <w:sz w:val="20"/>
          <w:szCs w:val="20"/>
        </w:rPr>
        <w:t xml:space="preserve">that their input is consistent, in terms of perimeter with the table 4 row 0010 column 0030 (i.e. Profit and Loss related to Financial Instruments measured at fair value through profit and loss reported in table 3 </w:t>
      </w:r>
      <w:r w:rsidR="00E86D6B" w:rsidRPr="00DA7242">
        <w:rPr>
          <w:rFonts w:ascii="Arial" w:hAnsi="Arial" w:cs="Arial"/>
          <w:sz w:val="20"/>
          <w:szCs w:val="20"/>
        </w:rPr>
        <w:t>should</w:t>
      </w:r>
      <w:r w:rsidR="005F106D" w:rsidRPr="00DA7242">
        <w:rPr>
          <w:rFonts w:ascii="Arial" w:hAnsi="Arial" w:cs="Arial"/>
          <w:sz w:val="20"/>
          <w:szCs w:val="20"/>
        </w:rPr>
        <w:t xml:space="preserve"> not be included in table 4).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8519"/>
      </w:tblGrid>
      <w:tr w:rsidR="005F106D" w:rsidRPr="00DA7242" w14:paraId="28F1DA89" w14:textId="77777777" w:rsidTr="0035689D">
        <w:tc>
          <w:tcPr>
            <w:tcW w:w="1228" w:type="dxa"/>
            <w:tcBorders>
              <w:top w:val="single" w:sz="4" w:space="0" w:color="auto"/>
              <w:left w:val="single" w:sz="4" w:space="0" w:color="auto"/>
              <w:bottom w:val="single" w:sz="4" w:space="0" w:color="auto"/>
              <w:right w:val="single" w:sz="4" w:space="0" w:color="auto"/>
            </w:tcBorders>
            <w:shd w:val="clear" w:color="auto" w:fill="CCCCCC"/>
            <w:hideMark/>
          </w:tcPr>
          <w:p w14:paraId="209B9C41"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19" w:type="dxa"/>
            <w:tcBorders>
              <w:top w:val="single" w:sz="4" w:space="0" w:color="auto"/>
              <w:left w:val="single" w:sz="4" w:space="0" w:color="auto"/>
              <w:bottom w:val="single" w:sz="4" w:space="0" w:color="auto"/>
              <w:right w:val="single" w:sz="4" w:space="0" w:color="auto"/>
            </w:tcBorders>
            <w:shd w:val="clear" w:color="auto" w:fill="CCCCCC"/>
            <w:hideMark/>
          </w:tcPr>
          <w:p w14:paraId="0CC627CF"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3BE326EB" w14:textId="77777777" w:rsidTr="0035689D">
        <w:tc>
          <w:tcPr>
            <w:tcW w:w="1228" w:type="dxa"/>
            <w:tcBorders>
              <w:top w:val="single" w:sz="4" w:space="0" w:color="auto"/>
              <w:left w:val="single" w:sz="4" w:space="0" w:color="auto"/>
              <w:bottom w:val="single" w:sz="4" w:space="0" w:color="auto"/>
              <w:right w:val="single" w:sz="4" w:space="0" w:color="auto"/>
            </w:tcBorders>
          </w:tcPr>
          <w:p w14:paraId="6159854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19" w:type="dxa"/>
            <w:tcBorders>
              <w:top w:val="single" w:sz="4" w:space="0" w:color="auto"/>
              <w:left w:val="single" w:sz="4" w:space="0" w:color="auto"/>
              <w:bottom w:val="single" w:sz="4" w:space="0" w:color="auto"/>
              <w:right w:val="single" w:sz="4" w:space="0" w:color="auto"/>
            </w:tcBorders>
          </w:tcPr>
          <w:p w14:paraId="425B920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Amount</w:t>
            </w:r>
          </w:p>
          <w:p w14:paraId="4DFE9D3E" w14:textId="77777777" w:rsidR="005F106D" w:rsidRPr="00DA7242" w:rsidRDefault="00536E7B" w:rsidP="00B269F7">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 xml:space="preserve">Include the month to date contribution </w:t>
            </w:r>
            <w:r w:rsidR="00D72C3A" w:rsidRPr="00DA7242">
              <w:rPr>
                <w:rFonts w:ascii="Arial" w:eastAsia="Times New Roman" w:hAnsi="Arial" w:cs="Arial"/>
                <w:sz w:val="20"/>
                <w:szCs w:val="20"/>
              </w:rPr>
              <w:t>of trading book activities to the Statement of Profit and Loss</w:t>
            </w:r>
          </w:p>
        </w:tc>
      </w:tr>
      <w:tr w:rsidR="005F106D" w:rsidRPr="00DA7242" w14:paraId="6E36790B" w14:textId="77777777" w:rsidTr="0035689D">
        <w:tc>
          <w:tcPr>
            <w:tcW w:w="1228" w:type="dxa"/>
            <w:tcBorders>
              <w:top w:val="single" w:sz="4" w:space="0" w:color="auto"/>
              <w:left w:val="single" w:sz="4" w:space="0" w:color="auto"/>
              <w:bottom w:val="single" w:sz="4" w:space="0" w:color="auto"/>
              <w:right w:val="single" w:sz="4" w:space="0" w:color="auto"/>
            </w:tcBorders>
          </w:tcPr>
          <w:p w14:paraId="1458E59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19" w:type="dxa"/>
            <w:tcBorders>
              <w:top w:val="single" w:sz="4" w:space="0" w:color="auto"/>
              <w:left w:val="single" w:sz="4" w:space="0" w:color="auto"/>
              <w:bottom w:val="single" w:sz="4" w:space="0" w:color="auto"/>
              <w:right w:val="single" w:sz="4" w:space="0" w:color="auto"/>
            </w:tcBorders>
          </w:tcPr>
          <w:p w14:paraId="316C414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w:t>
            </w:r>
            <w:r w:rsidR="00B269F7" w:rsidRPr="00DA7242">
              <w:rPr>
                <w:rFonts w:ascii="Arial" w:eastAsia="Times New Roman" w:hAnsi="Arial" w:cs="Arial"/>
                <w:b/>
                <w:sz w:val="20"/>
                <w:szCs w:val="20"/>
                <w:u w:val="single"/>
              </w:rPr>
              <w:t>Revenue</w:t>
            </w:r>
            <w:r w:rsidR="00FD5DF6" w:rsidRPr="00DA7242">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from new trades (i.e. Day-one profit, new trade fees and Commissions)</w:t>
            </w:r>
          </w:p>
          <w:p w14:paraId="2111D4F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Include month-to date </w:t>
            </w:r>
            <w:r w:rsidR="00B269F7" w:rsidRPr="00DA7242">
              <w:rPr>
                <w:rFonts w:ascii="Arial" w:eastAsia="Times New Roman" w:hAnsi="Arial" w:cs="Arial"/>
                <w:sz w:val="20"/>
                <w:szCs w:val="20"/>
              </w:rPr>
              <w:t>Revenue</w:t>
            </w:r>
            <w:r w:rsidRPr="00DA7242">
              <w:rPr>
                <w:rFonts w:ascii="Arial" w:eastAsia="Times New Roman" w:hAnsi="Arial" w:cs="Arial"/>
                <w:sz w:val="20"/>
                <w:szCs w:val="20"/>
              </w:rPr>
              <w:t xml:space="preserve"> generated from new trades:</w:t>
            </w:r>
          </w:p>
          <w:p w14:paraId="442468E4"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New trades fees and commissions</w:t>
            </w:r>
          </w:p>
          <w:p w14:paraId="43D8C626"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Difference observed at the initial recognition of the instrument between the transaction price and the fair value according to the estimation technique. This difference is defined as "day one profit or loss” or “D1 P&amp;L" (IAS39.AG76A) between the fair value at initial recognition and the transaction price of trades at origination</w:t>
            </w:r>
          </w:p>
        </w:tc>
      </w:tr>
      <w:tr w:rsidR="005F106D" w:rsidRPr="00DA7242" w14:paraId="2C651A3C" w14:textId="77777777" w:rsidTr="0035689D">
        <w:tc>
          <w:tcPr>
            <w:tcW w:w="1228" w:type="dxa"/>
            <w:tcBorders>
              <w:top w:val="single" w:sz="4" w:space="0" w:color="auto"/>
              <w:left w:val="single" w:sz="4" w:space="0" w:color="auto"/>
              <w:bottom w:val="single" w:sz="4" w:space="0" w:color="auto"/>
              <w:right w:val="single" w:sz="4" w:space="0" w:color="auto"/>
            </w:tcBorders>
          </w:tcPr>
          <w:p w14:paraId="3ACE81A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0030</w:t>
            </w:r>
          </w:p>
        </w:tc>
        <w:tc>
          <w:tcPr>
            <w:tcW w:w="8519" w:type="dxa"/>
            <w:tcBorders>
              <w:top w:val="single" w:sz="4" w:space="0" w:color="auto"/>
              <w:left w:val="single" w:sz="4" w:space="0" w:color="auto"/>
              <w:bottom w:val="single" w:sz="4" w:space="0" w:color="auto"/>
              <w:right w:val="single" w:sz="4" w:space="0" w:color="auto"/>
            </w:tcBorders>
          </w:tcPr>
          <w:p w14:paraId="1F50917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w:t>
            </w:r>
            <w:r w:rsidR="0081517A" w:rsidRPr="00DA7242">
              <w:rPr>
                <w:rFonts w:ascii="Arial" w:eastAsia="Times New Roman" w:hAnsi="Arial" w:cs="Arial"/>
                <w:b/>
                <w:sz w:val="20"/>
                <w:szCs w:val="20"/>
                <w:u w:val="single"/>
              </w:rPr>
              <w:t xml:space="preserve">Impact to Revenue </w:t>
            </w:r>
            <w:r w:rsidR="004362D8" w:rsidRPr="00DA7242">
              <w:rPr>
                <w:rFonts w:ascii="Arial" w:eastAsia="Times New Roman" w:hAnsi="Arial" w:cs="Arial"/>
                <w:b/>
                <w:sz w:val="20"/>
                <w:szCs w:val="20"/>
                <w:u w:val="single"/>
              </w:rPr>
              <w:t>of</w:t>
            </w:r>
            <w:r w:rsidRPr="00DA7242">
              <w:rPr>
                <w:rFonts w:ascii="Arial" w:eastAsia="Times New Roman" w:hAnsi="Arial" w:cs="Arial"/>
                <w:b/>
                <w:sz w:val="20"/>
                <w:szCs w:val="20"/>
                <w:u w:val="single"/>
              </w:rPr>
              <w:t xml:space="preserve"> Mark-to-Market change</w:t>
            </w:r>
          </w:p>
          <w:p w14:paraId="70E8C1F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Include the month to date contribution of market price change to the Statement of Profit and Loss</w:t>
            </w:r>
          </w:p>
        </w:tc>
      </w:tr>
      <w:tr w:rsidR="005F106D" w:rsidRPr="00DA7242" w14:paraId="5435DC62" w14:textId="77777777" w:rsidTr="0035689D">
        <w:tc>
          <w:tcPr>
            <w:tcW w:w="1228" w:type="dxa"/>
            <w:tcBorders>
              <w:top w:val="single" w:sz="4" w:space="0" w:color="auto"/>
              <w:left w:val="single" w:sz="4" w:space="0" w:color="auto"/>
              <w:bottom w:val="single" w:sz="4" w:space="0" w:color="auto"/>
              <w:right w:val="single" w:sz="4" w:space="0" w:color="auto"/>
            </w:tcBorders>
          </w:tcPr>
          <w:p w14:paraId="3DAC47F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19" w:type="dxa"/>
            <w:tcBorders>
              <w:top w:val="single" w:sz="4" w:space="0" w:color="auto"/>
              <w:left w:val="single" w:sz="4" w:space="0" w:color="auto"/>
              <w:bottom w:val="single" w:sz="4" w:space="0" w:color="auto"/>
              <w:right w:val="single" w:sz="4" w:space="0" w:color="auto"/>
            </w:tcBorders>
          </w:tcPr>
          <w:p w14:paraId="155286B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IPV/Fair Value adjustments</w:t>
            </w:r>
          </w:p>
          <w:p w14:paraId="1A079B4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IPV adjustments refer to</w:t>
            </w:r>
            <w:r w:rsidRPr="00DA7242">
              <w:rPr>
                <w:rFonts w:ascii="Arial" w:hAnsi="Arial" w:cs="Arial"/>
                <w:sz w:val="20"/>
                <w:szCs w:val="20"/>
              </w:rPr>
              <w:t xml:space="preserve"> </w:t>
            </w:r>
            <w:r w:rsidRPr="00DA7242">
              <w:rPr>
                <w:rFonts w:ascii="Arial" w:eastAsia="Times New Roman" w:hAnsi="Arial" w:cs="Arial"/>
                <w:sz w:val="20"/>
                <w:szCs w:val="20"/>
              </w:rPr>
              <w:t>sum across all positions and risk factors of the trading book portfolio of unadjusted difference amounts calculated at the reporting reference date under the independent price verification process performed in accordance with Article 105(8) of CRR (‘IPV difference’), with respect to the best available independent data for the relevant position or risk factor;</w:t>
            </w:r>
          </w:p>
          <w:p w14:paraId="30DC1F5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Fair Value adjustments refer to the sum of adjustments, sometimes also referred to as ‘reserves’, within the accounting fair value of the relevant portfolio that are made outside of the valuation model used to generate carrying values and risk metrics at a position level for the purposes of day to day risk management. It covers:</w:t>
            </w:r>
          </w:p>
          <w:p w14:paraId="07AA7FA8"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Market Price Uncertainties adjustments: Fair value adjustments taken to reflect the risk premium arising from the existence of a range of observed prices for equivalent instruments or, in respect of a market parameter input to a valuation model, for the instruments from which the input has been calibrated</w:t>
            </w:r>
          </w:p>
          <w:p w14:paraId="32F014F7"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Close out Cost adjustments:</w:t>
            </w:r>
            <w:r w:rsidRPr="00DA7242">
              <w:rPr>
                <w:rFonts w:ascii="Arial" w:hAnsi="Arial" w:cs="Arial"/>
                <w:sz w:val="20"/>
                <w:szCs w:val="20"/>
              </w:rPr>
              <w:t xml:space="preserve"> </w:t>
            </w:r>
            <w:r w:rsidRPr="00DA7242">
              <w:rPr>
                <w:rFonts w:ascii="Arial" w:eastAsia="Times New Roman" w:hAnsi="Arial" w:cs="Arial"/>
                <w:sz w:val="20"/>
                <w:szCs w:val="20"/>
              </w:rPr>
              <w:t>Fair value adjustments taken to adjust for the fact that the position level valuations do not reflect an exit price for the position or portfolio, in particular where such valuations are calibrated to a mid-market price.</w:t>
            </w:r>
          </w:p>
          <w:p w14:paraId="3F6125C4" w14:textId="77777777" w:rsidR="005F106D"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Model Risk adjustments: Fair value adjustments taken to reflect market or product factors that are not captured by the model used to calculate daily position values and risks (‘valuation model’) or to reflect an appropriate level of prudence given the uncertainty arising from the existence of a range of alternative valid modelling and calibration tools.</w:t>
            </w:r>
          </w:p>
          <w:p w14:paraId="286EFA90" w14:textId="6870E469" w:rsidR="00F01BA3" w:rsidRPr="002374DD" w:rsidRDefault="00F01BA3" w:rsidP="005F106D">
            <w:pPr>
              <w:pStyle w:val="ListParagraph"/>
              <w:numPr>
                <w:ilvl w:val="0"/>
                <w:numId w:val="6"/>
              </w:numPr>
              <w:spacing w:before="120" w:after="120" w:line="240" w:lineRule="auto"/>
              <w:jc w:val="both"/>
              <w:rPr>
                <w:rFonts w:ascii="Arial" w:eastAsia="Times New Roman" w:hAnsi="Arial" w:cs="Arial"/>
                <w:sz w:val="20"/>
                <w:szCs w:val="20"/>
                <w:highlight w:val="yellow"/>
              </w:rPr>
            </w:pPr>
            <w:r w:rsidRPr="002374DD">
              <w:rPr>
                <w:rFonts w:ascii="Arial" w:eastAsia="Times New Roman" w:hAnsi="Arial" w:cs="Arial"/>
                <w:sz w:val="20"/>
                <w:szCs w:val="20"/>
                <w:highlight w:val="yellow"/>
              </w:rPr>
              <w:t>CVA/FVA/XVA (described below)</w:t>
            </w:r>
          </w:p>
          <w:p w14:paraId="0CF2A879" w14:textId="3F99F408" w:rsidR="005F106D" w:rsidRPr="002374DD" w:rsidRDefault="005F106D" w:rsidP="00994C51">
            <w:pPr>
              <w:spacing w:before="120" w:after="120" w:line="240" w:lineRule="auto"/>
              <w:jc w:val="both"/>
              <w:rPr>
                <w:rFonts w:ascii="Arial" w:eastAsia="Times New Roman" w:hAnsi="Arial" w:cs="Arial"/>
                <w:b/>
                <w:strike/>
                <w:sz w:val="20"/>
                <w:szCs w:val="20"/>
                <w:u w:val="single"/>
              </w:rPr>
            </w:pPr>
            <w:r w:rsidRPr="002374DD">
              <w:rPr>
                <w:rFonts w:ascii="Arial" w:eastAsia="Times New Roman" w:hAnsi="Arial" w:cs="Arial"/>
                <w:strike/>
                <w:sz w:val="20"/>
                <w:szCs w:val="20"/>
                <w:highlight w:val="yellow"/>
              </w:rPr>
              <w:t>It excludes all other fair valuation adjustments including in particular the Unearned credit spreads fair value adjustments taken to cover expected losses due to counterparty default on derivative positions and Investing and Funding fair value adjustments taken to compensate where valuation models do not fully reflect the funding cost that market participants would factor into the exit price for a position or portfolio.</w:t>
            </w:r>
          </w:p>
        </w:tc>
      </w:tr>
      <w:tr w:rsidR="005F106D" w:rsidRPr="00DA7242" w14:paraId="708A8F19" w14:textId="77777777" w:rsidTr="0035689D">
        <w:tc>
          <w:tcPr>
            <w:tcW w:w="1228" w:type="dxa"/>
            <w:tcBorders>
              <w:top w:val="single" w:sz="4" w:space="0" w:color="auto"/>
              <w:left w:val="single" w:sz="4" w:space="0" w:color="auto"/>
              <w:bottom w:val="single" w:sz="4" w:space="0" w:color="auto"/>
              <w:right w:val="single" w:sz="4" w:space="0" w:color="auto"/>
            </w:tcBorders>
          </w:tcPr>
          <w:p w14:paraId="31547EC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19" w:type="dxa"/>
            <w:tcBorders>
              <w:top w:val="single" w:sz="4" w:space="0" w:color="auto"/>
              <w:left w:val="single" w:sz="4" w:space="0" w:color="auto"/>
              <w:bottom w:val="single" w:sz="4" w:space="0" w:color="auto"/>
              <w:right w:val="single" w:sz="4" w:space="0" w:color="auto"/>
            </w:tcBorders>
          </w:tcPr>
          <w:p w14:paraId="1191918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CVA/FVA/XVA</w:t>
            </w:r>
          </w:p>
          <w:p w14:paraId="1889E3EF" w14:textId="228303F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CVA refers to the Unearned credit spreads fair value adjustments taken to cover expected losses due to counterparty default on derivative positions in the trading book portfolio;</w:t>
            </w:r>
          </w:p>
          <w:p w14:paraId="7CF9F826" w14:textId="27524406"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 FVA refers to Funding fair value adjustments taken to compensate where valuation models do not fully reflect the funding cost </w:t>
            </w:r>
            <w:r w:rsidR="004C7C8F" w:rsidRPr="00DA7242">
              <w:rPr>
                <w:rFonts w:ascii="Arial" w:eastAsia="Times New Roman" w:hAnsi="Arial" w:cs="Arial"/>
                <w:sz w:val="20"/>
                <w:szCs w:val="20"/>
              </w:rPr>
              <w:t xml:space="preserve">of uncollateralised derivatives above the risk-free rate </w:t>
            </w:r>
            <w:r w:rsidRPr="00DA7242">
              <w:rPr>
                <w:rFonts w:ascii="Arial" w:eastAsia="Times New Roman" w:hAnsi="Arial" w:cs="Arial"/>
                <w:sz w:val="20"/>
                <w:szCs w:val="20"/>
              </w:rPr>
              <w:t>that market participants would factor into the exit price for a position or portfolio.</w:t>
            </w:r>
          </w:p>
          <w:p w14:paraId="1CB1D01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XVA refers to the sum of the following adjustments made to the fair value of a derivatives contract:</w:t>
            </w:r>
          </w:p>
          <w:p w14:paraId="6C8855EC"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Capital valuation adjustment (KVA). Refers to the cost associated with holding regulatory capital against a trade;</w:t>
            </w:r>
          </w:p>
          <w:p w14:paraId="6E431E36" w14:textId="1A0854DA" w:rsidR="001F4EB6" w:rsidRPr="0035689D" w:rsidRDefault="005F106D" w:rsidP="0035689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Debit valuation adjustment (DVA). Refers to the adjustment to reflect in the statement of Profit and Loss the bank ’s counterparty credit risk to the client</w:t>
            </w:r>
            <w:r w:rsidR="001F4EB6" w:rsidRPr="00DA7242">
              <w:rPr>
                <w:rFonts w:ascii="Arial" w:eastAsia="Times New Roman" w:hAnsi="Arial" w:cs="Arial"/>
                <w:sz w:val="20"/>
                <w:szCs w:val="20"/>
              </w:rPr>
              <w:t>, if not already captured under the CVA (i.e. when bank computes a bilateral CVA)</w:t>
            </w:r>
            <w:r w:rsidRPr="00DA7242">
              <w:rPr>
                <w:rFonts w:ascii="Arial" w:eastAsia="Times New Roman" w:hAnsi="Arial" w:cs="Arial"/>
                <w:sz w:val="20"/>
                <w:szCs w:val="20"/>
              </w:rPr>
              <w:t>;</w:t>
            </w:r>
          </w:p>
          <w:p w14:paraId="1FEAECF7" w14:textId="77777777" w:rsidR="001F4EB6" w:rsidRPr="0035689D" w:rsidRDefault="005F106D" w:rsidP="0035689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Margin valuation adjustment (MVA). Refers to the cost of funding the initial margin required to be held against a trade</w:t>
            </w:r>
            <w:r w:rsidR="001F4EB6" w:rsidRPr="00DA7242">
              <w:rPr>
                <w:rFonts w:ascii="Arial" w:eastAsia="Times New Roman" w:hAnsi="Arial" w:cs="Arial"/>
                <w:sz w:val="20"/>
                <w:szCs w:val="20"/>
              </w:rPr>
              <w:t>;</w:t>
            </w:r>
          </w:p>
          <w:p w14:paraId="12917036" w14:textId="4CABEB4A" w:rsidR="005F106D" w:rsidRPr="00DA7242" w:rsidRDefault="001F4EB6" w:rsidP="0035689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Collateral valuation adjustment (COLVA).  Refers to the cost of funding a collateralized derivative position at a representative risk-free rate.</w:t>
            </w:r>
          </w:p>
        </w:tc>
      </w:tr>
      <w:tr w:rsidR="005F106D" w:rsidRPr="00DA7242" w14:paraId="0839A273" w14:textId="77777777" w:rsidTr="0035689D">
        <w:tc>
          <w:tcPr>
            <w:tcW w:w="1228" w:type="dxa"/>
            <w:tcBorders>
              <w:top w:val="single" w:sz="4" w:space="0" w:color="auto"/>
              <w:left w:val="single" w:sz="4" w:space="0" w:color="auto"/>
              <w:bottom w:val="single" w:sz="4" w:space="0" w:color="auto"/>
              <w:right w:val="single" w:sz="4" w:space="0" w:color="auto"/>
            </w:tcBorders>
          </w:tcPr>
          <w:p w14:paraId="0EA096D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19" w:type="dxa"/>
            <w:tcBorders>
              <w:top w:val="single" w:sz="4" w:space="0" w:color="auto"/>
              <w:left w:val="single" w:sz="4" w:space="0" w:color="auto"/>
              <w:bottom w:val="single" w:sz="4" w:space="0" w:color="auto"/>
              <w:right w:val="single" w:sz="4" w:space="0" w:color="auto"/>
            </w:tcBorders>
          </w:tcPr>
          <w:p w14:paraId="41C85B9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Other</w:t>
            </w:r>
          </w:p>
          <w:p w14:paraId="3E6EE91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Include all other adjustments than “</w:t>
            </w:r>
            <w:r w:rsidR="004362D8" w:rsidRPr="00DA7242">
              <w:rPr>
                <w:rFonts w:ascii="Arial" w:eastAsia="Times New Roman" w:hAnsi="Arial" w:cs="Arial"/>
                <w:sz w:val="20"/>
                <w:szCs w:val="20"/>
              </w:rPr>
              <w:t>Revenue</w:t>
            </w:r>
            <w:r w:rsidRPr="00DA7242">
              <w:rPr>
                <w:rFonts w:ascii="Arial" w:eastAsia="Times New Roman" w:hAnsi="Arial" w:cs="Arial"/>
                <w:sz w:val="20"/>
                <w:szCs w:val="20"/>
              </w:rPr>
              <w:t xml:space="preserve"> from new trades”, “</w:t>
            </w:r>
            <w:r w:rsidR="004362D8" w:rsidRPr="00DA7242">
              <w:rPr>
                <w:rFonts w:ascii="Arial" w:eastAsia="Times New Roman" w:hAnsi="Arial" w:cs="Arial"/>
                <w:sz w:val="20"/>
                <w:szCs w:val="20"/>
              </w:rPr>
              <w:t xml:space="preserve">Impact to Revenue of </w:t>
            </w:r>
            <w:r w:rsidRPr="00DA7242">
              <w:rPr>
                <w:rFonts w:ascii="Arial" w:eastAsia="Times New Roman" w:hAnsi="Arial" w:cs="Arial"/>
                <w:sz w:val="20"/>
                <w:szCs w:val="20"/>
              </w:rPr>
              <w:t xml:space="preserve">Mark-to-Market change”, “IPV/Fair Value adjustments” and “CVA/FVA/XVA” adjustments, </w:t>
            </w:r>
            <w:r w:rsidRPr="00DA7242">
              <w:rPr>
                <w:rFonts w:ascii="Arial" w:eastAsia="Times New Roman" w:hAnsi="Arial" w:cs="Arial"/>
                <w:sz w:val="20"/>
                <w:szCs w:val="20"/>
              </w:rPr>
              <w:lastRenderedPageBreak/>
              <w:t>sometimes also referred to as ‘reserves’, within the accounting fair value of the trading book portfolio that are made outside of the valuation model used to generate carrying values and risk metrics at a position level for the purposes of day to day risk management</w:t>
            </w:r>
          </w:p>
          <w:p w14:paraId="3FF07EB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
        </w:tc>
      </w:tr>
      <w:tr w:rsidR="005F106D" w:rsidRPr="00DA7242" w14:paraId="00289F42" w14:textId="77777777" w:rsidTr="0035689D">
        <w:tc>
          <w:tcPr>
            <w:tcW w:w="1228" w:type="dxa"/>
            <w:tcBorders>
              <w:top w:val="single" w:sz="4" w:space="0" w:color="auto"/>
              <w:left w:val="single" w:sz="4" w:space="0" w:color="auto"/>
              <w:bottom w:val="single" w:sz="4" w:space="0" w:color="auto"/>
              <w:right w:val="single" w:sz="4" w:space="0" w:color="auto"/>
            </w:tcBorders>
          </w:tcPr>
          <w:p w14:paraId="2619CE3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0070</w:t>
            </w:r>
          </w:p>
        </w:tc>
        <w:tc>
          <w:tcPr>
            <w:tcW w:w="8519" w:type="dxa"/>
            <w:tcBorders>
              <w:top w:val="single" w:sz="4" w:space="0" w:color="auto"/>
              <w:left w:val="single" w:sz="4" w:space="0" w:color="auto"/>
              <w:bottom w:val="single" w:sz="4" w:space="0" w:color="auto"/>
              <w:right w:val="single" w:sz="4" w:space="0" w:color="auto"/>
            </w:tcBorders>
          </w:tcPr>
          <w:p w14:paraId="47084BC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Other please specify</w:t>
            </w:r>
          </w:p>
          <w:p w14:paraId="244EDAB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Specify the main driver(s) of the amount reported in the “Other” category</w:t>
            </w:r>
          </w:p>
        </w:tc>
      </w:tr>
    </w:tbl>
    <w:p w14:paraId="31724A1F"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05"/>
      </w:tblGrid>
      <w:tr w:rsidR="005F106D" w:rsidRPr="00DA7242" w14:paraId="54DB3AD5"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CCCCCC"/>
            <w:hideMark/>
          </w:tcPr>
          <w:p w14:paraId="08924203"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05" w:type="dxa"/>
            <w:tcBorders>
              <w:top w:val="single" w:sz="4" w:space="0" w:color="auto"/>
              <w:left w:val="single" w:sz="4" w:space="0" w:color="auto"/>
              <w:bottom w:val="single" w:sz="4" w:space="0" w:color="auto"/>
              <w:right w:val="single" w:sz="4" w:space="0" w:color="auto"/>
            </w:tcBorders>
            <w:shd w:val="clear" w:color="auto" w:fill="CCCCCC"/>
            <w:hideMark/>
          </w:tcPr>
          <w:p w14:paraId="6DFB182C"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6832B1DE" w14:textId="77777777" w:rsidTr="0035689D">
        <w:tc>
          <w:tcPr>
            <w:tcW w:w="1242" w:type="dxa"/>
            <w:tcBorders>
              <w:top w:val="single" w:sz="4" w:space="0" w:color="auto"/>
              <w:left w:val="single" w:sz="4" w:space="0" w:color="auto"/>
              <w:bottom w:val="single" w:sz="4" w:space="0" w:color="auto"/>
              <w:right w:val="single" w:sz="4" w:space="0" w:color="auto"/>
            </w:tcBorders>
          </w:tcPr>
          <w:p w14:paraId="796CD81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0340</w:t>
            </w:r>
          </w:p>
        </w:tc>
        <w:tc>
          <w:tcPr>
            <w:tcW w:w="8505" w:type="dxa"/>
            <w:tcBorders>
              <w:top w:val="single" w:sz="4" w:space="0" w:color="auto"/>
              <w:left w:val="single" w:sz="4" w:space="0" w:color="auto"/>
              <w:bottom w:val="single" w:sz="4" w:space="0" w:color="auto"/>
              <w:right w:val="single" w:sz="4" w:space="0" w:color="auto"/>
            </w:tcBorders>
          </w:tcPr>
          <w:p w14:paraId="5FABCF7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Revenue</w:t>
            </w:r>
          </w:p>
          <w:p w14:paraId="5D42D6A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Refers to the month-to date Profit and Loss information for trading activities. Trading activities being defined to as Regulatory trading book activities, unless </w:t>
            </w:r>
            <w:r w:rsidRPr="00DA7242">
              <w:rPr>
                <w:rFonts w:ascii="Arial" w:hAnsi="Arial" w:cs="Arial"/>
                <w:sz w:val="20"/>
                <w:szCs w:val="20"/>
              </w:rPr>
              <w:t xml:space="preserve">overly burdensome (i.e. material changes are required in internal </w:t>
            </w:r>
            <w:proofErr w:type="spellStart"/>
            <w:r w:rsidRPr="00DA7242">
              <w:rPr>
                <w:rFonts w:ascii="Arial" w:hAnsi="Arial" w:cs="Arial"/>
                <w:sz w:val="20"/>
                <w:szCs w:val="20"/>
              </w:rPr>
              <w:t>PnL</w:t>
            </w:r>
            <w:proofErr w:type="spellEnd"/>
            <w:r w:rsidRPr="00DA7242">
              <w:rPr>
                <w:rFonts w:ascii="Arial" w:hAnsi="Arial" w:cs="Arial"/>
                <w:sz w:val="20"/>
                <w:szCs w:val="20"/>
              </w:rPr>
              <w:t xml:space="preserve"> reporting calculation processes, bank has limited IT capabilities, significant human intervention require)</w:t>
            </w:r>
            <w:r w:rsidRPr="00DA7242">
              <w:rPr>
                <w:rFonts w:ascii="Arial" w:eastAsia="Times New Roman" w:hAnsi="Arial" w:cs="Arial"/>
                <w:sz w:val="20"/>
                <w:szCs w:val="20"/>
              </w:rPr>
              <w:t>.</w:t>
            </w:r>
          </w:p>
        </w:tc>
      </w:tr>
    </w:tbl>
    <w:p w14:paraId="7BDE779F" w14:textId="77777777" w:rsidR="005F106D" w:rsidRPr="00DA7242" w:rsidRDefault="005F106D" w:rsidP="005F106D">
      <w:pPr>
        <w:jc w:val="both"/>
        <w:rPr>
          <w:rFonts w:ascii="Arial" w:hAnsi="Arial" w:cs="Arial"/>
          <w:sz w:val="20"/>
          <w:szCs w:val="20"/>
        </w:rPr>
      </w:pPr>
    </w:p>
    <w:p w14:paraId="20A01722" w14:textId="01CEED5D"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4: Fair value changes of </w:t>
      </w:r>
      <w:r w:rsidR="005A4A21" w:rsidRPr="00DA7242">
        <w:rPr>
          <w:rFonts w:ascii="Arial" w:hAnsi="Arial" w:cs="Arial"/>
          <w:b/>
          <w:sz w:val="20"/>
          <w:szCs w:val="20"/>
        </w:rPr>
        <w:t xml:space="preserve">non-trading </w:t>
      </w:r>
      <w:r w:rsidRPr="00DA7242">
        <w:rPr>
          <w:rFonts w:ascii="Arial" w:hAnsi="Arial" w:cs="Arial"/>
          <w:b/>
          <w:sz w:val="20"/>
          <w:szCs w:val="20"/>
        </w:rPr>
        <w:t>financial instruments measured at the fair value</w:t>
      </w:r>
    </w:p>
    <w:p w14:paraId="38A43D4E"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All data points included in this table refer to fair value change of;</w:t>
      </w:r>
    </w:p>
    <w:p w14:paraId="0FD0BDE5" w14:textId="77777777" w:rsidR="005F106D" w:rsidRPr="00DA7242" w:rsidRDefault="005F106D" w:rsidP="005F106D">
      <w:pPr>
        <w:pStyle w:val="ListParagraph"/>
        <w:numPr>
          <w:ilvl w:val="0"/>
          <w:numId w:val="6"/>
        </w:numPr>
        <w:jc w:val="both"/>
        <w:rPr>
          <w:rFonts w:ascii="Arial" w:hAnsi="Arial" w:cs="Arial"/>
          <w:sz w:val="20"/>
          <w:szCs w:val="20"/>
        </w:rPr>
      </w:pPr>
      <w:r w:rsidRPr="00DA7242">
        <w:rPr>
          <w:rFonts w:ascii="Arial" w:hAnsi="Arial" w:cs="Arial"/>
          <w:sz w:val="20"/>
          <w:szCs w:val="20"/>
        </w:rPr>
        <w:t>Non-trading financial instruments measured at the fair value. For the sake of consistency with the table 3, “Non-trading” instrument means instruments not included in the table 3;</w:t>
      </w:r>
    </w:p>
    <w:p w14:paraId="5611A486" w14:textId="77777777" w:rsidR="005F106D" w:rsidRPr="00DA7242" w:rsidRDefault="005F106D" w:rsidP="005F106D">
      <w:pPr>
        <w:pStyle w:val="ListParagraph"/>
        <w:numPr>
          <w:ilvl w:val="0"/>
          <w:numId w:val="6"/>
        </w:numPr>
        <w:jc w:val="both"/>
        <w:rPr>
          <w:rFonts w:ascii="Arial" w:hAnsi="Arial" w:cs="Arial"/>
          <w:sz w:val="20"/>
          <w:szCs w:val="20"/>
        </w:rPr>
      </w:pPr>
      <w:r w:rsidRPr="00DA7242">
        <w:rPr>
          <w:rFonts w:ascii="Arial" w:hAnsi="Arial" w:cs="Arial"/>
          <w:sz w:val="20"/>
          <w:szCs w:val="20"/>
        </w:rPr>
        <w:t>Financial instruments measured at the fair value through Other Comprehensive Income.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8519"/>
      </w:tblGrid>
      <w:tr w:rsidR="005F106D" w:rsidRPr="00DA7242" w14:paraId="69C5FF46" w14:textId="77777777" w:rsidTr="0035689D">
        <w:tc>
          <w:tcPr>
            <w:tcW w:w="1228" w:type="dxa"/>
            <w:tcBorders>
              <w:top w:val="single" w:sz="4" w:space="0" w:color="auto"/>
              <w:left w:val="single" w:sz="4" w:space="0" w:color="auto"/>
              <w:bottom w:val="single" w:sz="4" w:space="0" w:color="auto"/>
              <w:right w:val="single" w:sz="4" w:space="0" w:color="auto"/>
            </w:tcBorders>
            <w:shd w:val="clear" w:color="auto" w:fill="CCCCCC"/>
            <w:hideMark/>
          </w:tcPr>
          <w:p w14:paraId="7DE19A91"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19" w:type="dxa"/>
            <w:tcBorders>
              <w:top w:val="single" w:sz="4" w:space="0" w:color="auto"/>
              <w:left w:val="single" w:sz="4" w:space="0" w:color="auto"/>
              <w:bottom w:val="single" w:sz="4" w:space="0" w:color="auto"/>
              <w:right w:val="single" w:sz="4" w:space="0" w:color="auto"/>
            </w:tcBorders>
            <w:shd w:val="clear" w:color="auto" w:fill="CCCCCC"/>
            <w:hideMark/>
          </w:tcPr>
          <w:p w14:paraId="52F3B079"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57A6800E" w14:textId="77777777" w:rsidTr="0035689D">
        <w:tc>
          <w:tcPr>
            <w:tcW w:w="1228" w:type="dxa"/>
            <w:tcBorders>
              <w:top w:val="single" w:sz="4" w:space="0" w:color="auto"/>
              <w:left w:val="single" w:sz="4" w:space="0" w:color="auto"/>
              <w:bottom w:val="single" w:sz="4" w:space="0" w:color="auto"/>
              <w:right w:val="single" w:sz="4" w:space="0" w:color="auto"/>
            </w:tcBorders>
          </w:tcPr>
          <w:p w14:paraId="6BDF212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19" w:type="dxa"/>
            <w:tcBorders>
              <w:top w:val="single" w:sz="4" w:space="0" w:color="auto"/>
              <w:left w:val="single" w:sz="4" w:space="0" w:color="auto"/>
              <w:bottom w:val="single" w:sz="4" w:space="0" w:color="auto"/>
              <w:right w:val="single" w:sz="4" w:space="0" w:color="auto"/>
            </w:tcBorders>
          </w:tcPr>
          <w:p w14:paraId="6A07D79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Accumulated other comprehensive income</w:t>
            </w:r>
          </w:p>
          <w:p w14:paraId="49E7AB61"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 xml:space="preserve">Refer to  FINREP F 01.03 r090 c10 </w:t>
            </w:r>
          </w:p>
        </w:tc>
      </w:tr>
      <w:tr w:rsidR="005F106D" w:rsidRPr="00DA7242" w14:paraId="2723D611" w14:textId="77777777" w:rsidTr="0035689D">
        <w:tc>
          <w:tcPr>
            <w:tcW w:w="1228" w:type="dxa"/>
            <w:tcBorders>
              <w:top w:val="single" w:sz="4" w:space="0" w:color="auto"/>
              <w:left w:val="single" w:sz="4" w:space="0" w:color="auto"/>
              <w:bottom w:val="single" w:sz="4" w:space="0" w:color="auto"/>
              <w:right w:val="single" w:sz="4" w:space="0" w:color="auto"/>
            </w:tcBorders>
          </w:tcPr>
          <w:p w14:paraId="298B6E6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19" w:type="dxa"/>
            <w:tcBorders>
              <w:top w:val="single" w:sz="4" w:space="0" w:color="auto"/>
              <w:left w:val="single" w:sz="4" w:space="0" w:color="auto"/>
              <w:bottom w:val="single" w:sz="4" w:space="0" w:color="auto"/>
              <w:right w:val="single" w:sz="4" w:space="0" w:color="auto"/>
            </w:tcBorders>
          </w:tcPr>
          <w:p w14:paraId="65184787" w14:textId="0F646D2D"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Valuation gains</w:t>
            </w:r>
            <w:r w:rsidR="00F3078A" w:rsidRPr="00DA7242">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 xml:space="preserve"> or (-) losses </w:t>
            </w:r>
            <w:r w:rsidR="00A36616" w:rsidRPr="00F94D2F">
              <w:rPr>
                <w:rFonts w:ascii="Arial" w:eastAsia="Times New Roman" w:hAnsi="Arial" w:cs="Arial"/>
                <w:b/>
                <w:sz w:val="20"/>
                <w:szCs w:val="20"/>
                <w:highlight w:val="yellow"/>
                <w:u w:val="single"/>
              </w:rPr>
              <w:t xml:space="preserve">for Equity and Debt instruments measured at fair value through other comprehensive income </w:t>
            </w:r>
            <w:r w:rsidR="00A36616" w:rsidRPr="00F94D2F">
              <w:rPr>
                <w:rFonts w:ascii="Arial" w:eastAsia="Times New Roman" w:hAnsi="Arial" w:cs="Arial"/>
                <w:b/>
                <w:strike/>
                <w:sz w:val="20"/>
                <w:szCs w:val="20"/>
                <w:highlight w:val="yellow"/>
                <w:u w:val="single"/>
              </w:rPr>
              <w:t>Transferred to profit or loss</w:t>
            </w:r>
          </w:p>
          <w:p w14:paraId="6F7CF083"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Refer to the sum of following FINREP coordinates: F 01.03 r320c10 + F 01.03 r330c10 + F 01.03 r155c10</w:t>
            </w:r>
          </w:p>
        </w:tc>
      </w:tr>
      <w:tr w:rsidR="005F106D" w:rsidRPr="00DA7242" w14:paraId="1EAB3677" w14:textId="77777777" w:rsidTr="0035689D">
        <w:tc>
          <w:tcPr>
            <w:tcW w:w="1228" w:type="dxa"/>
            <w:tcBorders>
              <w:top w:val="single" w:sz="4" w:space="0" w:color="auto"/>
              <w:left w:val="single" w:sz="4" w:space="0" w:color="auto"/>
              <w:bottom w:val="single" w:sz="4" w:space="0" w:color="auto"/>
              <w:right w:val="single" w:sz="4" w:space="0" w:color="auto"/>
            </w:tcBorders>
          </w:tcPr>
          <w:p w14:paraId="24D8030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19" w:type="dxa"/>
            <w:tcBorders>
              <w:top w:val="single" w:sz="4" w:space="0" w:color="auto"/>
              <w:left w:val="single" w:sz="4" w:space="0" w:color="auto"/>
              <w:bottom w:val="single" w:sz="4" w:space="0" w:color="auto"/>
              <w:right w:val="single" w:sz="4" w:space="0" w:color="auto"/>
            </w:tcBorders>
          </w:tcPr>
          <w:p w14:paraId="0DF9B808" w14:textId="7777777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Fair value changes of instruments measured at the fair value through Profit and Loss (amount not reported in table 3: trading revenue)</w:t>
            </w:r>
          </w:p>
          <w:p w14:paraId="4015C81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hAnsi="Arial" w:cs="Arial"/>
                <w:sz w:val="20"/>
                <w:szCs w:val="20"/>
              </w:rPr>
              <w:t xml:space="preserve">Refer to month to date fair value change reported in the statement of Profit and Loss related to non-trading financial instruments </w:t>
            </w:r>
          </w:p>
        </w:tc>
      </w:tr>
    </w:tbl>
    <w:p w14:paraId="2955279B"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05"/>
      </w:tblGrid>
      <w:tr w:rsidR="005F106D" w:rsidRPr="00DA7242" w14:paraId="35D72792"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CCCCCC"/>
            <w:hideMark/>
          </w:tcPr>
          <w:p w14:paraId="42DD3DE0"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05" w:type="dxa"/>
            <w:tcBorders>
              <w:top w:val="single" w:sz="4" w:space="0" w:color="auto"/>
              <w:left w:val="single" w:sz="4" w:space="0" w:color="auto"/>
              <w:bottom w:val="single" w:sz="4" w:space="0" w:color="auto"/>
              <w:right w:val="single" w:sz="4" w:space="0" w:color="auto"/>
            </w:tcBorders>
            <w:shd w:val="clear" w:color="auto" w:fill="CCCCCC"/>
            <w:hideMark/>
          </w:tcPr>
          <w:p w14:paraId="3C9B88AD"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611A5054" w14:textId="77777777" w:rsidTr="0035689D">
        <w:tc>
          <w:tcPr>
            <w:tcW w:w="1242" w:type="dxa"/>
            <w:tcBorders>
              <w:top w:val="single" w:sz="4" w:space="0" w:color="auto"/>
              <w:left w:val="single" w:sz="4" w:space="0" w:color="auto"/>
              <w:bottom w:val="single" w:sz="4" w:space="0" w:color="auto"/>
              <w:right w:val="single" w:sz="4" w:space="0" w:color="auto"/>
            </w:tcBorders>
          </w:tcPr>
          <w:p w14:paraId="1A15D3E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0350</w:t>
            </w:r>
          </w:p>
        </w:tc>
        <w:tc>
          <w:tcPr>
            <w:tcW w:w="8505" w:type="dxa"/>
            <w:tcBorders>
              <w:top w:val="single" w:sz="4" w:space="0" w:color="auto"/>
              <w:left w:val="single" w:sz="4" w:space="0" w:color="auto"/>
              <w:bottom w:val="single" w:sz="4" w:space="0" w:color="auto"/>
              <w:right w:val="single" w:sz="4" w:space="0" w:color="auto"/>
            </w:tcBorders>
          </w:tcPr>
          <w:p w14:paraId="526ED97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 Amount</w:t>
            </w:r>
          </w:p>
          <w:p w14:paraId="0198E1C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hAnsi="Arial" w:cs="Arial"/>
                <w:sz w:val="20"/>
                <w:szCs w:val="20"/>
              </w:rPr>
              <w:t>Refer to fair value change of financial instruments measured at the fair value reported either in the statement of Profit and Loss ( for non-trading instruments) or in Other Comprehensive Income</w:t>
            </w:r>
          </w:p>
        </w:tc>
      </w:tr>
    </w:tbl>
    <w:p w14:paraId="498899D5" w14:textId="77777777" w:rsidR="005F106D" w:rsidRPr="00DA7242" w:rsidRDefault="005F106D" w:rsidP="005F106D">
      <w:pPr>
        <w:jc w:val="both"/>
        <w:rPr>
          <w:rFonts w:ascii="Arial" w:hAnsi="Arial" w:cs="Arial"/>
          <w:sz w:val="20"/>
          <w:szCs w:val="20"/>
        </w:rPr>
      </w:pPr>
    </w:p>
    <w:p w14:paraId="1882543A" w14:textId="73181358"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5: Counterparty Credit Risk </w:t>
      </w:r>
      <w:r w:rsidR="00BD7615" w:rsidRPr="00DA7242">
        <w:rPr>
          <w:rFonts w:ascii="Arial" w:hAnsi="Arial" w:cs="Arial"/>
          <w:b/>
          <w:sz w:val="20"/>
          <w:szCs w:val="20"/>
        </w:rPr>
        <w:t>e</w:t>
      </w:r>
      <w:r w:rsidRPr="00DA7242">
        <w:rPr>
          <w:rFonts w:ascii="Arial" w:hAnsi="Arial" w:cs="Arial"/>
          <w:b/>
          <w:sz w:val="20"/>
          <w:szCs w:val="20"/>
        </w:rPr>
        <w:t>xposure</w:t>
      </w:r>
    </w:p>
    <w:p w14:paraId="5AE5F25C" w14:textId="3BAD6A36" w:rsidR="005F106D" w:rsidRDefault="005F106D" w:rsidP="005F106D">
      <w:pPr>
        <w:rPr>
          <w:rFonts w:ascii="Arial" w:hAnsi="Arial" w:cs="Arial"/>
          <w:sz w:val="20"/>
          <w:szCs w:val="20"/>
        </w:rPr>
      </w:pPr>
      <w:r w:rsidRPr="00DA7242">
        <w:rPr>
          <w:rFonts w:ascii="Arial" w:hAnsi="Arial" w:cs="Arial"/>
          <w:sz w:val="20"/>
          <w:szCs w:val="20"/>
        </w:rPr>
        <w:lastRenderedPageBreak/>
        <w:t xml:space="preserve">This template requests information on the values of the Counterparty Credit Risk </w:t>
      </w:r>
      <w:r w:rsidR="00BD7615" w:rsidRPr="00DA7242">
        <w:rPr>
          <w:rFonts w:ascii="Arial" w:hAnsi="Arial" w:cs="Arial"/>
          <w:sz w:val="20"/>
          <w:szCs w:val="20"/>
        </w:rPr>
        <w:t>e</w:t>
      </w:r>
      <w:r w:rsidRPr="00DA7242">
        <w:rPr>
          <w:rFonts w:ascii="Arial" w:hAnsi="Arial" w:cs="Arial"/>
          <w:sz w:val="20"/>
          <w:szCs w:val="20"/>
        </w:rPr>
        <w:t>xposure as computed in CRR Part 3, Title II, Chapter 6 (Counterparty Credit Risk) due to different classes of counterparty.</w:t>
      </w:r>
      <w:r w:rsidR="007D45F9">
        <w:rPr>
          <w:rFonts w:ascii="Arial" w:hAnsi="Arial" w:cs="Arial"/>
          <w:sz w:val="20"/>
          <w:szCs w:val="20"/>
        </w:rPr>
        <w:t xml:space="preserve"> </w:t>
      </w:r>
      <w:r w:rsidR="007D45F9" w:rsidRPr="007D45F9">
        <w:rPr>
          <w:rFonts w:ascii="Arial" w:hAnsi="Arial" w:cs="Arial"/>
          <w:sz w:val="20"/>
          <w:szCs w:val="20"/>
          <w:highlight w:val="yellow"/>
        </w:rPr>
        <w:t>CCR exposures should be broken down in three categories (Government, Corporates, and Institutions) following the allocation of COREP asset classes described in Table 2 and 3 below.</w:t>
      </w:r>
    </w:p>
    <w:p w14:paraId="3EEB690F" w14:textId="491366A4" w:rsidR="00230BFA" w:rsidRPr="00230BFA" w:rsidRDefault="00230BFA" w:rsidP="00230BFA">
      <w:pPr>
        <w:rPr>
          <w:rFonts w:ascii="Arial" w:hAnsi="Arial" w:cs="Arial"/>
          <w:sz w:val="20"/>
          <w:szCs w:val="20"/>
          <w:highlight w:val="yellow"/>
        </w:rPr>
      </w:pPr>
      <w:r w:rsidRPr="00230BFA">
        <w:rPr>
          <w:rFonts w:ascii="Arial" w:hAnsi="Arial" w:cs="Arial"/>
          <w:b/>
          <w:sz w:val="20"/>
          <w:szCs w:val="20"/>
          <w:highlight w:val="yellow"/>
        </w:rPr>
        <w:t>Table 2: Allocation of COREP IRB asset classes by category</w:t>
      </w:r>
    </w:p>
    <w:tbl>
      <w:tblPr>
        <w:tblW w:w="7374" w:type="dxa"/>
        <w:jc w:val="center"/>
        <w:tblLook w:val="04A0" w:firstRow="1" w:lastRow="0" w:firstColumn="1" w:lastColumn="0" w:noHBand="0" w:noVBand="1"/>
      </w:tblPr>
      <w:tblGrid>
        <w:gridCol w:w="4876"/>
        <w:gridCol w:w="2498"/>
      </w:tblGrid>
      <w:tr w:rsidR="00230BFA" w:rsidRPr="00230BFA" w14:paraId="1BF1A061" w14:textId="77777777" w:rsidTr="00230BFA">
        <w:trPr>
          <w:jc w:val="center"/>
        </w:trPr>
        <w:tc>
          <w:tcPr>
            <w:tcW w:w="4876" w:type="dxa"/>
            <w:tcBorders>
              <w:top w:val="single" w:sz="4" w:space="0" w:color="auto"/>
              <w:bottom w:val="double" w:sz="4" w:space="0" w:color="auto"/>
            </w:tcBorders>
            <w:shd w:val="clear" w:color="auto" w:fill="auto"/>
          </w:tcPr>
          <w:p w14:paraId="2A20FD78" w14:textId="1D3175B8" w:rsidR="00230BFA" w:rsidRPr="00230BFA" w:rsidRDefault="00230BFA" w:rsidP="00230BFA">
            <w:pPr>
              <w:pStyle w:val="norm"/>
              <w:spacing w:line="240" w:lineRule="auto"/>
              <w:jc w:val="center"/>
              <w:rPr>
                <w:rFonts w:ascii="Arial" w:hAnsi="Arial" w:cs="Arial"/>
                <w:b/>
                <w:sz w:val="20"/>
                <w:szCs w:val="20"/>
                <w:highlight w:val="yellow"/>
              </w:rPr>
            </w:pPr>
            <w:r w:rsidRPr="00230BFA">
              <w:rPr>
                <w:rFonts w:ascii="Arial" w:hAnsi="Arial" w:cs="Arial"/>
                <w:b/>
                <w:sz w:val="20"/>
                <w:szCs w:val="20"/>
                <w:highlight w:val="yellow"/>
              </w:rPr>
              <w:t>COREP asset class</w:t>
            </w:r>
          </w:p>
        </w:tc>
        <w:tc>
          <w:tcPr>
            <w:tcW w:w="2498" w:type="dxa"/>
            <w:tcBorders>
              <w:top w:val="single" w:sz="4" w:space="0" w:color="auto"/>
              <w:bottom w:val="double" w:sz="4" w:space="0" w:color="auto"/>
            </w:tcBorders>
            <w:shd w:val="clear" w:color="auto" w:fill="auto"/>
          </w:tcPr>
          <w:p w14:paraId="4EA8AE66" w14:textId="28F0E713" w:rsidR="00230BFA" w:rsidRPr="00230BFA" w:rsidRDefault="00230BFA" w:rsidP="00230BFA">
            <w:pPr>
              <w:pStyle w:val="norm"/>
              <w:spacing w:line="240" w:lineRule="auto"/>
              <w:jc w:val="center"/>
              <w:rPr>
                <w:rFonts w:ascii="Arial" w:hAnsi="Arial" w:cs="Arial"/>
                <w:b/>
                <w:sz w:val="20"/>
                <w:szCs w:val="20"/>
                <w:highlight w:val="yellow"/>
              </w:rPr>
            </w:pPr>
            <w:r w:rsidRPr="00230BFA">
              <w:rPr>
                <w:rFonts w:ascii="Arial" w:hAnsi="Arial" w:cs="Arial"/>
                <w:b/>
                <w:sz w:val="20"/>
                <w:szCs w:val="20"/>
                <w:highlight w:val="yellow"/>
              </w:rPr>
              <w:t>Category in Table 6.5</w:t>
            </w:r>
          </w:p>
        </w:tc>
      </w:tr>
      <w:tr w:rsidR="00230BFA" w:rsidRPr="00230BFA" w14:paraId="0EC71780" w14:textId="77777777" w:rsidTr="00230BFA">
        <w:trPr>
          <w:jc w:val="center"/>
        </w:trPr>
        <w:tc>
          <w:tcPr>
            <w:tcW w:w="4876" w:type="dxa"/>
            <w:tcBorders>
              <w:top w:val="double" w:sz="4" w:space="0" w:color="auto"/>
            </w:tcBorders>
            <w:shd w:val="clear" w:color="auto" w:fill="auto"/>
          </w:tcPr>
          <w:p w14:paraId="1FA2675B" w14:textId="55FCEA1D"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Central governments or central banks</w:t>
            </w:r>
          </w:p>
        </w:tc>
        <w:tc>
          <w:tcPr>
            <w:tcW w:w="2498" w:type="dxa"/>
            <w:tcBorders>
              <w:top w:val="double" w:sz="4" w:space="0" w:color="auto"/>
            </w:tcBorders>
            <w:shd w:val="clear" w:color="auto" w:fill="auto"/>
          </w:tcPr>
          <w:p w14:paraId="3463D7CA" w14:textId="732A2747"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Government</w:t>
            </w:r>
            <w:r>
              <w:rPr>
                <w:highlight w:val="yellow"/>
              </w:rPr>
              <w:t xml:space="preserve"> (row 380)</w:t>
            </w:r>
          </w:p>
        </w:tc>
      </w:tr>
      <w:tr w:rsidR="00230BFA" w:rsidRPr="00230BFA" w14:paraId="2F7AAD8A" w14:textId="77777777" w:rsidTr="00230BFA">
        <w:trPr>
          <w:jc w:val="center"/>
        </w:trPr>
        <w:tc>
          <w:tcPr>
            <w:tcW w:w="4876" w:type="dxa"/>
            <w:shd w:val="clear" w:color="auto" w:fill="auto"/>
          </w:tcPr>
          <w:p w14:paraId="06DD4B24" w14:textId="67B95699"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Institutions</w:t>
            </w:r>
          </w:p>
        </w:tc>
        <w:tc>
          <w:tcPr>
            <w:tcW w:w="2498" w:type="dxa"/>
            <w:shd w:val="clear" w:color="auto" w:fill="auto"/>
          </w:tcPr>
          <w:p w14:paraId="72985C0C" w14:textId="77100FAF"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Institutions</w:t>
            </w:r>
            <w:r>
              <w:rPr>
                <w:highlight w:val="yellow"/>
              </w:rPr>
              <w:t xml:space="preserve"> (row 390)</w:t>
            </w:r>
          </w:p>
        </w:tc>
      </w:tr>
      <w:tr w:rsidR="00230BFA" w:rsidRPr="00230BFA" w14:paraId="4062AB0C" w14:textId="77777777" w:rsidTr="00230BFA">
        <w:trPr>
          <w:jc w:val="center"/>
        </w:trPr>
        <w:tc>
          <w:tcPr>
            <w:tcW w:w="4876" w:type="dxa"/>
            <w:shd w:val="clear" w:color="auto" w:fill="auto"/>
          </w:tcPr>
          <w:p w14:paraId="5B7524EA" w14:textId="0680CE18"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Corporates - SME</w:t>
            </w:r>
          </w:p>
        </w:tc>
        <w:tc>
          <w:tcPr>
            <w:tcW w:w="2498" w:type="dxa"/>
            <w:shd w:val="clear" w:color="auto" w:fill="auto"/>
          </w:tcPr>
          <w:p w14:paraId="381608F7" w14:textId="560F1748"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Corporates</w:t>
            </w:r>
            <w:r>
              <w:rPr>
                <w:highlight w:val="yellow"/>
              </w:rPr>
              <w:t xml:space="preserve"> (row 400)</w:t>
            </w:r>
          </w:p>
        </w:tc>
      </w:tr>
      <w:tr w:rsidR="00230BFA" w:rsidRPr="00230BFA" w14:paraId="3FB7904A" w14:textId="77777777" w:rsidTr="00230BFA">
        <w:trPr>
          <w:jc w:val="center"/>
        </w:trPr>
        <w:tc>
          <w:tcPr>
            <w:tcW w:w="4876" w:type="dxa"/>
            <w:shd w:val="clear" w:color="auto" w:fill="auto"/>
          </w:tcPr>
          <w:p w14:paraId="62443FAC" w14:textId="3E3DE3D5"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Corporates - Specialised Lending</w:t>
            </w:r>
          </w:p>
        </w:tc>
        <w:tc>
          <w:tcPr>
            <w:tcW w:w="2498" w:type="dxa"/>
            <w:shd w:val="clear" w:color="auto" w:fill="auto"/>
          </w:tcPr>
          <w:p w14:paraId="6F4B8844" w14:textId="7DAD6B3D"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Corporates</w:t>
            </w:r>
            <w:r>
              <w:rPr>
                <w:highlight w:val="yellow"/>
              </w:rPr>
              <w:t xml:space="preserve"> (row 400)</w:t>
            </w:r>
          </w:p>
        </w:tc>
      </w:tr>
      <w:tr w:rsidR="00230BFA" w:rsidRPr="00230BFA" w14:paraId="0083DCEC" w14:textId="77777777" w:rsidTr="00230BFA">
        <w:trPr>
          <w:jc w:val="center"/>
        </w:trPr>
        <w:tc>
          <w:tcPr>
            <w:tcW w:w="4876" w:type="dxa"/>
            <w:shd w:val="clear" w:color="auto" w:fill="auto"/>
          </w:tcPr>
          <w:p w14:paraId="702870D0" w14:textId="095AFDD3"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Corporates - Other</w:t>
            </w:r>
          </w:p>
        </w:tc>
        <w:tc>
          <w:tcPr>
            <w:tcW w:w="2498" w:type="dxa"/>
            <w:shd w:val="clear" w:color="auto" w:fill="auto"/>
          </w:tcPr>
          <w:p w14:paraId="5A7CCAFB" w14:textId="00F802EB"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Corporates</w:t>
            </w:r>
            <w:r>
              <w:rPr>
                <w:highlight w:val="yellow"/>
              </w:rPr>
              <w:t xml:space="preserve"> (row 400)</w:t>
            </w:r>
          </w:p>
        </w:tc>
      </w:tr>
      <w:tr w:rsidR="00230BFA" w:rsidRPr="00230BFA" w14:paraId="4FBB27F7" w14:textId="77777777" w:rsidTr="00230BFA">
        <w:trPr>
          <w:jc w:val="center"/>
        </w:trPr>
        <w:tc>
          <w:tcPr>
            <w:tcW w:w="4876" w:type="dxa"/>
            <w:shd w:val="clear" w:color="auto" w:fill="auto"/>
          </w:tcPr>
          <w:p w14:paraId="2DBF7EBA" w14:textId="570CCD19"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Retail - Secured by immovable property SME -</w:t>
            </w:r>
          </w:p>
        </w:tc>
        <w:tc>
          <w:tcPr>
            <w:tcW w:w="2498" w:type="dxa"/>
            <w:shd w:val="clear" w:color="auto" w:fill="auto"/>
          </w:tcPr>
          <w:p w14:paraId="266D7200" w14:textId="4390785C" w:rsidR="00230BFA" w:rsidRPr="00230BFA" w:rsidRDefault="00230BFA" w:rsidP="00230BFA">
            <w:pPr>
              <w:pStyle w:val="norm"/>
              <w:spacing w:line="240" w:lineRule="auto"/>
              <w:jc w:val="left"/>
              <w:rPr>
                <w:rFonts w:ascii="Arial" w:hAnsi="Arial" w:cs="Arial"/>
                <w:i/>
                <w:sz w:val="20"/>
                <w:szCs w:val="20"/>
                <w:highlight w:val="yellow"/>
              </w:rPr>
            </w:pPr>
            <w:r w:rsidRPr="00230BFA">
              <w:rPr>
                <w:i/>
                <w:highlight w:val="yellow"/>
              </w:rPr>
              <w:t>NA</w:t>
            </w:r>
            <w:bookmarkStart w:id="2" w:name="_Ref45618760"/>
            <w:r w:rsidRPr="00230BFA">
              <w:rPr>
                <w:rStyle w:val="FootnoteReference"/>
                <w:highlight w:val="yellow"/>
              </w:rPr>
              <w:footnoteReference w:id="11"/>
            </w:r>
            <w:bookmarkEnd w:id="2"/>
          </w:p>
        </w:tc>
      </w:tr>
      <w:tr w:rsidR="00230BFA" w:rsidRPr="00230BFA" w14:paraId="32146DDA" w14:textId="77777777" w:rsidTr="00230BFA">
        <w:trPr>
          <w:jc w:val="center"/>
        </w:trPr>
        <w:tc>
          <w:tcPr>
            <w:tcW w:w="4876" w:type="dxa"/>
            <w:shd w:val="clear" w:color="auto" w:fill="auto"/>
          </w:tcPr>
          <w:p w14:paraId="6525FB5E" w14:textId="284CBAF8"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Retail - Qualifying revolving</w:t>
            </w:r>
          </w:p>
        </w:tc>
        <w:tc>
          <w:tcPr>
            <w:tcW w:w="2498" w:type="dxa"/>
            <w:shd w:val="clear" w:color="auto" w:fill="auto"/>
          </w:tcPr>
          <w:p w14:paraId="7D293CF5" w14:textId="08B3AAC0" w:rsidR="00230BFA" w:rsidRPr="00230BFA" w:rsidRDefault="00230BFA" w:rsidP="00230BFA">
            <w:pPr>
              <w:pStyle w:val="norm"/>
              <w:spacing w:line="240" w:lineRule="auto"/>
              <w:jc w:val="left"/>
              <w:rPr>
                <w:rFonts w:ascii="Arial" w:hAnsi="Arial" w:cs="Arial"/>
                <w:i/>
                <w:sz w:val="20"/>
                <w:szCs w:val="20"/>
                <w:highlight w:val="yellow"/>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r w:rsidR="00230BFA" w:rsidRPr="00230BFA" w14:paraId="53E4BC9B" w14:textId="77777777" w:rsidTr="00230BFA">
        <w:trPr>
          <w:jc w:val="center"/>
        </w:trPr>
        <w:tc>
          <w:tcPr>
            <w:tcW w:w="4876" w:type="dxa"/>
            <w:shd w:val="clear" w:color="auto" w:fill="auto"/>
          </w:tcPr>
          <w:p w14:paraId="4BCEE9D9" w14:textId="753327F7"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Retail - Other SME</w:t>
            </w:r>
          </w:p>
        </w:tc>
        <w:tc>
          <w:tcPr>
            <w:tcW w:w="2498" w:type="dxa"/>
            <w:shd w:val="clear" w:color="auto" w:fill="auto"/>
          </w:tcPr>
          <w:p w14:paraId="5BEDFBE1" w14:textId="71C5C532" w:rsidR="00230BFA" w:rsidRPr="00230BFA" w:rsidRDefault="00230BFA" w:rsidP="00230BFA">
            <w:pPr>
              <w:pStyle w:val="norm"/>
              <w:spacing w:line="240" w:lineRule="auto"/>
              <w:jc w:val="left"/>
              <w:rPr>
                <w:rFonts w:ascii="Arial" w:hAnsi="Arial" w:cs="Arial"/>
                <w:i/>
                <w:sz w:val="20"/>
                <w:szCs w:val="20"/>
                <w:highlight w:val="yellow"/>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r w:rsidR="00230BFA" w:rsidRPr="00230BFA" w14:paraId="61DD8099" w14:textId="77777777" w:rsidTr="00230BFA">
        <w:trPr>
          <w:jc w:val="center"/>
        </w:trPr>
        <w:tc>
          <w:tcPr>
            <w:tcW w:w="4876" w:type="dxa"/>
            <w:tcBorders>
              <w:bottom w:val="single" w:sz="4" w:space="0" w:color="auto"/>
            </w:tcBorders>
            <w:shd w:val="clear" w:color="auto" w:fill="auto"/>
          </w:tcPr>
          <w:p w14:paraId="106065C5" w14:textId="532A7890"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Retail - Other non-SME</w:t>
            </w:r>
          </w:p>
        </w:tc>
        <w:tc>
          <w:tcPr>
            <w:tcW w:w="2498" w:type="dxa"/>
            <w:tcBorders>
              <w:bottom w:val="single" w:sz="4" w:space="0" w:color="auto"/>
            </w:tcBorders>
            <w:shd w:val="clear" w:color="auto" w:fill="auto"/>
          </w:tcPr>
          <w:p w14:paraId="5D2CF9DA" w14:textId="4B2AFEE2" w:rsidR="00230BFA" w:rsidRPr="00230BFA" w:rsidRDefault="00230BFA" w:rsidP="00230BFA">
            <w:pPr>
              <w:pStyle w:val="norm"/>
              <w:spacing w:line="240" w:lineRule="auto"/>
              <w:jc w:val="left"/>
              <w:rPr>
                <w:rFonts w:ascii="Arial" w:hAnsi="Arial" w:cs="Arial"/>
                <w:i/>
                <w:sz w:val="20"/>
                <w:szCs w:val="20"/>
                <w:highlight w:val="yellow"/>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bl>
    <w:p w14:paraId="5AF21A35" w14:textId="77777777" w:rsidR="00230BFA" w:rsidRPr="00230BFA" w:rsidRDefault="00230BFA" w:rsidP="00230BFA">
      <w:pPr>
        <w:rPr>
          <w:rFonts w:ascii="Calibri" w:hAnsi="Calibri"/>
          <w:color w:val="1F497D"/>
          <w:highlight w:val="yellow"/>
        </w:rPr>
      </w:pPr>
    </w:p>
    <w:p w14:paraId="54F0CA35" w14:textId="5E11123F" w:rsidR="00230BFA" w:rsidRPr="00230BFA" w:rsidRDefault="00230BFA" w:rsidP="00230BFA">
      <w:pPr>
        <w:rPr>
          <w:rFonts w:ascii="Arial" w:hAnsi="Arial" w:cs="Arial"/>
          <w:sz w:val="20"/>
          <w:szCs w:val="20"/>
          <w:highlight w:val="yellow"/>
        </w:rPr>
      </w:pPr>
      <w:r w:rsidRPr="00230BFA">
        <w:rPr>
          <w:rFonts w:ascii="Arial" w:hAnsi="Arial" w:cs="Arial"/>
          <w:b/>
          <w:sz w:val="20"/>
          <w:szCs w:val="20"/>
          <w:highlight w:val="yellow"/>
        </w:rPr>
        <w:t>Table 3: Allocation of COREP SA asset classes by category</w:t>
      </w:r>
    </w:p>
    <w:tbl>
      <w:tblPr>
        <w:tblW w:w="7374" w:type="dxa"/>
        <w:jc w:val="center"/>
        <w:tblLook w:val="04A0" w:firstRow="1" w:lastRow="0" w:firstColumn="1" w:lastColumn="0" w:noHBand="0" w:noVBand="1"/>
      </w:tblPr>
      <w:tblGrid>
        <w:gridCol w:w="4876"/>
        <w:gridCol w:w="2498"/>
      </w:tblGrid>
      <w:tr w:rsidR="00230BFA" w:rsidRPr="00230BFA" w14:paraId="6FDC8E7E" w14:textId="77777777" w:rsidTr="00230BFA">
        <w:trPr>
          <w:jc w:val="center"/>
        </w:trPr>
        <w:tc>
          <w:tcPr>
            <w:tcW w:w="4876" w:type="dxa"/>
            <w:tcBorders>
              <w:top w:val="single" w:sz="4" w:space="0" w:color="auto"/>
              <w:bottom w:val="double" w:sz="4" w:space="0" w:color="auto"/>
            </w:tcBorders>
            <w:shd w:val="clear" w:color="auto" w:fill="auto"/>
          </w:tcPr>
          <w:p w14:paraId="348A23A7" w14:textId="77777777" w:rsidR="00230BFA" w:rsidRPr="00230BFA" w:rsidRDefault="00230BFA" w:rsidP="00230BFA">
            <w:pPr>
              <w:pStyle w:val="norm"/>
              <w:spacing w:line="240" w:lineRule="auto"/>
              <w:jc w:val="center"/>
              <w:rPr>
                <w:rFonts w:ascii="Arial" w:hAnsi="Arial" w:cs="Arial"/>
                <w:b/>
                <w:sz w:val="20"/>
                <w:szCs w:val="20"/>
                <w:highlight w:val="yellow"/>
              </w:rPr>
            </w:pPr>
            <w:r w:rsidRPr="00230BFA">
              <w:rPr>
                <w:rFonts w:ascii="Arial" w:hAnsi="Arial" w:cs="Arial"/>
                <w:b/>
                <w:sz w:val="20"/>
                <w:szCs w:val="20"/>
                <w:highlight w:val="yellow"/>
              </w:rPr>
              <w:t>COREP asset class</w:t>
            </w:r>
          </w:p>
        </w:tc>
        <w:tc>
          <w:tcPr>
            <w:tcW w:w="2498" w:type="dxa"/>
            <w:tcBorders>
              <w:top w:val="single" w:sz="4" w:space="0" w:color="auto"/>
              <w:bottom w:val="double" w:sz="4" w:space="0" w:color="auto"/>
            </w:tcBorders>
            <w:shd w:val="clear" w:color="auto" w:fill="auto"/>
          </w:tcPr>
          <w:p w14:paraId="328693B0" w14:textId="1AE58BA0" w:rsidR="00230BFA" w:rsidRPr="00230BFA" w:rsidRDefault="00230BFA" w:rsidP="00230BFA">
            <w:pPr>
              <w:pStyle w:val="norm"/>
              <w:spacing w:line="240" w:lineRule="auto"/>
              <w:jc w:val="center"/>
              <w:rPr>
                <w:rFonts w:ascii="Arial" w:hAnsi="Arial" w:cs="Arial"/>
                <w:b/>
                <w:sz w:val="20"/>
                <w:szCs w:val="20"/>
                <w:highlight w:val="yellow"/>
              </w:rPr>
            </w:pPr>
            <w:r w:rsidRPr="00230BFA">
              <w:rPr>
                <w:rFonts w:ascii="Arial" w:hAnsi="Arial" w:cs="Arial"/>
                <w:b/>
                <w:sz w:val="20"/>
                <w:szCs w:val="20"/>
                <w:highlight w:val="yellow"/>
              </w:rPr>
              <w:t>Category in Table 6.5</w:t>
            </w:r>
          </w:p>
        </w:tc>
      </w:tr>
      <w:tr w:rsidR="00230BFA" w:rsidRPr="00230BFA" w14:paraId="16606617" w14:textId="77777777" w:rsidTr="00230BFA">
        <w:trPr>
          <w:jc w:val="center"/>
        </w:trPr>
        <w:tc>
          <w:tcPr>
            <w:tcW w:w="4876" w:type="dxa"/>
            <w:tcBorders>
              <w:top w:val="double" w:sz="4" w:space="0" w:color="auto"/>
            </w:tcBorders>
            <w:shd w:val="clear" w:color="auto" w:fill="auto"/>
          </w:tcPr>
          <w:p w14:paraId="7B536384" w14:textId="33E646A3"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Central governments or central banks</w:t>
            </w:r>
          </w:p>
        </w:tc>
        <w:tc>
          <w:tcPr>
            <w:tcW w:w="2498" w:type="dxa"/>
            <w:tcBorders>
              <w:top w:val="double" w:sz="4" w:space="0" w:color="auto"/>
            </w:tcBorders>
            <w:shd w:val="clear" w:color="auto" w:fill="auto"/>
          </w:tcPr>
          <w:p w14:paraId="491DC6CC" w14:textId="07F5ED4F"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Government</w:t>
            </w:r>
            <w:r>
              <w:rPr>
                <w:highlight w:val="yellow"/>
              </w:rPr>
              <w:t xml:space="preserve"> (row 380)</w:t>
            </w:r>
          </w:p>
        </w:tc>
      </w:tr>
      <w:tr w:rsidR="00230BFA" w:rsidRPr="00230BFA" w14:paraId="29E89632" w14:textId="77777777" w:rsidTr="00230BFA">
        <w:trPr>
          <w:jc w:val="center"/>
        </w:trPr>
        <w:tc>
          <w:tcPr>
            <w:tcW w:w="4876" w:type="dxa"/>
            <w:shd w:val="clear" w:color="auto" w:fill="auto"/>
          </w:tcPr>
          <w:p w14:paraId="0B393C00" w14:textId="143FC6C2"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Regional governments or local authorities</w:t>
            </w:r>
          </w:p>
        </w:tc>
        <w:tc>
          <w:tcPr>
            <w:tcW w:w="2498" w:type="dxa"/>
            <w:shd w:val="clear" w:color="auto" w:fill="auto"/>
          </w:tcPr>
          <w:p w14:paraId="2DBF95F5" w14:textId="3930A0BC"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Government</w:t>
            </w:r>
            <w:r>
              <w:rPr>
                <w:highlight w:val="yellow"/>
              </w:rPr>
              <w:t xml:space="preserve"> (row 380)</w:t>
            </w:r>
          </w:p>
        </w:tc>
      </w:tr>
      <w:tr w:rsidR="00230BFA" w:rsidRPr="00230BFA" w14:paraId="66B1D9FF" w14:textId="77777777" w:rsidTr="00230BFA">
        <w:trPr>
          <w:jc w:val="center"/>
        </w:trPr>
        <w:tc>
          <w:tcPr>
            <w:tcW w:w="4876" w:type="dxa"/>
            <w:shd w:val="clear" w:color="auto" w:fill="auto"/>
          </w:tcPr>
          <w:p w14:paraId="5AD6CCDC" w14:textId="1F28C82E"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Public sector entities</w:t>
            </w:r>
          </w:p>
        </w:tc>
        <w:tc>
          <w:tcPr>
            <w:tcW w:w="2498" w:type="dxa"/>
            <w:shd w:val="clear" w:color="auto" w:fill="auto"/>
          </w:tcPr>
          <w:p w14:paraId="7D7E05CF" w14:textId="19932F21"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Government</w:t>
            </w:r>
            <w:r>
              <w:rPr>
                <w:highlight w:val="yellow"/>
              </w:rPr>
              <w:t xml:space="preserve"> (row 380)</w:t>
            </w:r>
          </w:p>
        </w:tc>
      </w:tr>
      <w:tr w:rsidR="00230BFA" w:rsidRPr="00230BFA" w14:paraId="5EA1573C" w14:textId="77777777" w:rsidTr="00230BFA">
        <w:trPr>
          <w:jc w:val="center"/>
        </w:trPr>
        <w:tc>
          <w:tcPr>
            <w:tcW w:w="4876" w:type="dxa"/>
            <w:shd w:val="clear" w:color="auto" w:fill="auto"/>
          </w:tcPr>
          <w:p w14:paraId="5004F8F5" w14:textId="408D94DF"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Multilateral development banks</w:t>
            </w:r>
          </w:p>
        </w:tc>
        <w:tc>
          <w:tcPr>
            <w:tcW w:w="2498" w:type="dxa"/>
            <w:shd w:val="clear" w:color="auto" w:fill="auto"/>
          </w:tcPr>
          <w:p w14:paraId="69CFA95D" w14:textId="3E83CEDE"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Government</w:t>
            </w:r>
            <w:r>
              <w:rPr>
                <w:highlight w:val="yellow"/>
              </w:rPr>
              <w:t xml:space="preserve"> (row 380)</w:t>
            </w:r>
          </w:p>
        </w:tc>
      </w:tr>
      <w:tr w:rsidR="00230BFA" w:rsidRPr="00230BFA" w14:paraId="08996384" w14:textId="77777777" w:rsidTr="00230BFA">
        <w:trPr>
          <w:jc w:val="center"/>
        </w:trPr>
        <w:tc>
          <w:tcPr>
            <w:tcW w:w="4876" w:type="dxa"/>
            <w:shd w:val="clear" w:color="auto" w:fill="auto"/>
          </w:tcPr>
          <w:p w14:paraId="1810FC7B" w14:textId="631E5F77" w:rsidR="00230BFA" w:rsidRPr="00230BFA" w:rsidRDefault="00230BFA" w:rsidP="00230BFA">
            <w:pPr>
              <w:pStyle w:val="norm"/>
              <w:spacing w:line="240" w:lineRule="auto"/>
              <w:jc w:val="left"/>
              <w:rPr>
                <w:highlight w:val="yellow"/>
              </w:rPr>
            </w:pPr>
            <w:r w:rsidRPr="00230BFA">
              <w:rPr>
                <w:highlight w:val="yellow"/>
              </w:rPr>
              <w:t>International organisations</w:t>
            </w:r>
          </w:p>
        </w:tc>
        <w:tc>
          <w:tcPr>
            <w:tcW w:w="2498" w:type="dxa"/>
            <w:shd w:val="clear" w:color="auto" w:fill="auto"/>
          </w:tcPr>
          <w:p w14:paraId="5EB2B367" w14:textId="61A3F83B" w:rsidR="00230BFA" w:rsidRPr="00230BFA" w:rsidRDefault="00230BFA" w:rsidP="00230BFA">
            <w:pPr>
              <w:pStyle w:val="norm"/>
              <w:spacing w:line="240" w:lineRule="auto"/>
              <w:jc w:val="left"/>
              <w:rPr>
                <w:highlight w:val="yellow"/>
              </w:rPr>
            </w:pPr>
            <w:r w:rsidRPr="00230BFA">
              <w:rPr>
                <w:highlight w:val="yellow"/>
              </w:rPr>
              <w:t>Government</w:t>
            </w:r>
            <w:r>
              <w:rPr>
                <w:highlight w:val="yellow"/>
              </w:rPr>
              <w:t xml:space="preserve"> (row 380)</w:t>
            </w:r>
          </w:p>
        </w:tc>
      </w:tr>
      <w:tr w:rsidR="00230BFA" w:rsidRPr="00230BFA" w14:paraId="67C0E50F" w14:textId="77777777" w:rsidTr="00230BFA">
        <w:trPr>
          <w:jc w:val="center"/>
        </w:trPr>
        <w:tc>
          <w:tcPr>
            <w:tcW w:w="4876" w:type="dxa"/>
            <w:shd w:val="clear" w:color="auto" w:fill="auto"/>
          </w:tcPr>
          <w:p w14:paraId="55E1E100" w14:textId="27AE3A39" w:rsidR="00230BFA" w:rsidRPr="00230BFA" w:rsidRDefault="00230BFA" w:rsidP="00230BFA">
            <w:pPr>
              <w:pStyle w:val="norm"/>
              <w:spacing w:line="240" w:lineRule="auto"/>
              <w:jc w:val="left"/>
              <w:rPr>
                <w:highlight w:val="yellow"/>
              </w:rPr>
            </w:pPr>
            <w:r w:rsidRPr="00230BFA">
              <w:rPr>
                <w:highlight w:val="yellow"/>
              </w:rPr>
              <w:t>Institutions</w:t>
            </w:r>
          </w:p>
        </w:tc>
        <w:tc>
          <w:tcPr>
            <w:tcW w:w="2498" w:type="dxa"/>
            <w:shd w:val="clear" w:color="auto" w:fill="auto"/>
          </w:tcPr>
          <w:p w14:paraId="55819869" w14:textId="5951542E" w:rsidR="00230BFA" w:rsidRPr="00230BFA" w:rsidRDefault="00230BFA" w:rsidP="00230BFA">
            <w:pPr>
              <w:pStyle w:val="norm"/>
              <w:spacing w:line="240" w:lineRule="auto"/>
              <w:jc w:val="left"/>
              <w:rPr>
                <w:highlight w:val="yellow"/>
              </w:rPr>
            </w:pPr>
            <w:r w:rsidRPr="00230BFA">
              <w:rPr>
                <w:highlight w:val="yellow"/>
              </w:rPr>
              <w:t>Institutions</w:t>
            </w:r>
            <w:r>
              <w:rPr>
                <w:highlight w:val="yellow"/>
              </w:rPr>
              <w:t xml:space="preserve"> (row 390)</w:t>
            </w:r>
          </w:p>
        </w:tc>
      </w:tr>
      <w:tr w:rsidR="00230BFA" w:rsidRPr="00230BFA" w14:paraId="08B98040" w14:textId="77777777" w:rsidTr="00230BFA">
        <w:trPr>
          <w:jc w:val="center"/>
        </w:trPr>
        <w:tc>
          <w:tcPr>
            <w:tcW w:w="4876" w:type="dxa"/>
            <w:shd w:val="clear" w:color="auto" w:fill="auto"/>
          </w:tcPr>
          <w:p w14:paraId="0C62A00D" w14:textId="2C3D3777" w:rsidR="00230BFA" w:rsidRPr="00230BFA" w:rsidRDefault="00230BFA" w:rsidP="00230BFA">
            <w:pPr>
              <w:pStyle w:val="norm"/>
              <w:spacing w:line="240" w:lineRule="auto"/>
              <w:jc w:val="left"/>
              <w:rPr>
                <w:highlight w:val="yellow"/>
              </w:rPr>
            </w:pPr>
            <w:r w:rsidRPr="00230BFA">
              <w:rPr>
                <w:highlight w:val="yellow"/>
              </w:rPr>
              <w:t>Corporates</w:t>
            </w:r>
          </w:p>
        </w:tc>
        <w:tc>
          <w:tcPr>
            <w:tcW w:w="2498" w:type="dxa"/>
            <w:shd w:val="clear" w:color="auto" w:fill="auto"/>
          </w:tcPr>
          <w:p w14:paraId="3EA2DB07" w14:textId="4594994F" w:rsidR="00230BFA" w:rsidRPr="00230BFA" w:rsidRDefault="00230BFA" w:rsidP="00230BFA">
            <w:pPr>
              <w:pStyle w:val="norm"/>
              <w:spacing w:line="240" w:lineRule="auto"/>
              <w:jc w:val="left"/>
              <w:rPr>
                <w:highlight w:val="yellow"/>
              </w:rPr>
            </w:pPr>
            <w:r w:rsidRPr="00230BFA">
              <w:rPr>
                <w:highlight w:val="yellow"/>
              </w:rPr>
              <w:t>Corporates</w:t>
            </w:r>
            <w:r>
              <w:rPr>
                <w:highlight w:val="yellow"/>
              </w:rPr>
              <w:t xml:space="preserve"> (row 400)</w:t>
            </w:r>
          </w:p>
        </w:tc>
      </w:tr>
      <w:tr w:rsidR="00230BFA" w:rsidRPr="00230BFA" w14:paraId="4FC97E2A" w14:textId="77777777" w:rsidTr="00230BFA">
        <w:trPr>
          <w:jc w:val="center"/>
        </w:trPr>
        <w:tc>
          <w:tcPr>
            <w:tcW w:w="4876" w:type="dxa"/>
            <w:shd w:val="clear" w:color="auto" w:fill="auto"/>
          </w:tcPr>
          <w:p w14:paraId="1B8083EB" w14:textId="784D980E" w:rsidR="00230BFA" w:rsidRPr="00230BFA" w:rsidRDefault="00230BFA" w:rsidP="00230BFA">
            <w:pPr>
              <w:pStyle w:val="norm"/>
              <w:spacing w:line="240" w:lineRule="auto"/>
              <w:jc w:val="left"/>
              <w:rPr>
                <w:highlight w:val="yellow"/>
              </w:rPr>
            </w:pPr>
            <w:r w:rsidRPr="00230BFA">
              <w:rPr>
                <w:highlight w:val="yellow"/>
              </w:rPr>
              <w:t>Retail</w:t>
            </w:r>
          </w:p>
        </w:tc>
        <w:tc>
          <w:tcPr>
            <w:tcW w:w="2498" w:type="dxa"/>
            <w:shd w:val="clear" w:color="auto" w:fill="auto"/>
          </w:tcPr>
          <w:p w14:paraId="2C518E36" w14:textId="6DA55B9A" w:rsidR="00230BFA" w:rsidRPr="00230BFA" w:rsidRDefault="00230BFA" w:rsidP="00230BFA">
            <w:pPr>
              <w:pStyle w:val="norm"/>
              <w:spacing w:line="240" w:lineRule="auto"/>
              <w:jc w:val="left"/>
              <w:rPr>
                <w:i/>
                <w:highlight w:val="yellow"/>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r w:rsidR="00230BFA" w:rsidRPr="00230BFA" w14:paraId="5DAC49D0" w14:textId="77777777" w:rsidTr="00230BFA">
        <w:trPr>
          <w:jc w:val="center"/>
        </w:trPr>
        <w:tc>
          <w:tcPr>
            <w:tcW w:w="4876" w:type="dxa"/>
            <w:shd w:val="clear" w:color="auto" w:fill="auto"/>
          </w:tcPr>
          <w:p w14:paraId="5F686FD1" w14:textId="525A620B" w:rsidR="00230BFA" w:rsidRPr="00230BFA" w:rsidRDefault="00230BFA" w:rsidP="00230BFA">
            <w:pPr>
              <w:pStyle w:val="norm"/>
              <w:spacing w:line="240" w:lineRule="auto"/>
              <w:jc w:val="left"/>
              <w:rPr>
                <w:highlight w:val="yellow"/>
              </w:rPr>
            </w:pPr>
            <w:r w:rsidRPr="00230BFA">
              <w:rPr>
                <w:highlight w:val="yellow"/>
              </w:rPr>
              <w:t>Secured by mortgages on immovable property</w:t>
            </w:r>
          </w:p>
        </w:tc>
        <w:tc>
          <w:tcPr>
            <w:tcW w:w="2498" w:type="dxa"/>
            <w:shd w:val="clear" w:color="auto" w:fill="auto"/>
          </w:tcPr>
          <w:p w14:paraId="44968655" w14:textId="7BB80B18" w:rsidR="00230BFA" w:rsidRPr="00230BFA" w:rsidRDefault="00230BFA" w:rsidP="00230BFA">
            <w:pPr>
              <w:pStyle w:val="norm"/>
              <w:spacing w:line="240" w:lineRule="auto"/>
              <w:jc w:val="left"/>
              <w:rPr>
                <w:i/>
                <w:highlight w:val="yellow"/>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r w:rsidR="00230BFA" w:rsidRPr="00230BFA" w14:paraId="408878FD" w14:textId="77777777" w:rsidTr="00230BFA">
        <w:trPr>
          <w:jc w:val="center"/>
        </w:trPr>
        <w:tc>
          <w:tcPr>
            <w:tcW w:w="4876" w:type="dxa"/>
            <w:shd w:val="clear" w:color="auto" w:fill="auto"/>
          </w:tcPr>
          <w:p w14:paraId="6427A0FB" w14:textId="1A61F879" w:rsidR="00230BFA" w:rsidRPr="00230BFA" w:rsidRDefault="00230BFA" w:rsidP="00230BFA">
            <w:pPr>
              <w:pStyle w:val="norm"/>
              <w:spacing w:line="240" w:lineRule="auto"/>
              <w:jc w:val="left"/>
              <w:rPr>
                <w:highlight w:val="yellow"/>
              </w:rPr>
            </w:pPr>
            <w:r w:rsidRPr="00230BFA">
              <w:rPr>
                <w:highlight w:val="yellow"/>
              </w:rPr>
              <w:t>Exposures in default</w:t>
            </w:r>
          </w:p>
        </w:tc>
        <w:tc>
          <w:tcPr>
            <w:tcW w:w="2498" w:type="dxa"/>
            <w:shd w:val="clear" w:color="auto" w:fill="auto"/>
          </w:tcPr>
          <w:p w14:paraId="5F57A602" w14:textId="5E8E83FD" w:rsidR="00230BFA" w:rsidRPr="00230BFA" w:rsidRDefault="00230BFA" w:rsidP="00230BFA">
            <w:pPr>
              <w:pStyle w:val="norm"/>
              <w:spacing w:line="240" w:lineRule="auto"/>
              <w:jc w:val="left"/>
              <w:rPr>
                <w:i/>
                <w:highlight w:val="yellow"/>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r w:rsidR="00230BFA" w:rsidRPr="00230BFA" w14:paraId="0C6CA699" w14:textId="77777777" w:rsidTr="00230BFA">
        <w:trPr>
          <w:jc w:val="center"/>
        </w:trPr>
        <w:tc>
          <w:tcPr>
            <w:tcW w:w="4876" w:type="dxa"/>
            <w:shd w:val="clear" w:color="auto" w:fill="auto"/>
          </w:tcPr>
          <w:p w14:paraId="56024665" w14:textId="1E932EBC" w:rsidR="00230BFA" w:rsidRPr="00230BFA" w:rsidRDefault="00230BFA" w:rsidP="00230BFA">
            <w:pPr>
              <w:pStyle w:val="norm"/>
              <w:spacing w:line="240" w:lineRule="auto"/>
              <w:jc w:val="left"/>
              <w:rPr>
                <w:highlight w:val="yellow"/>
              </w:rPr>
            </w:pPr>
            <w:r w:rsidRPr="00230BFA">
              <w:rPr>
                <w:highlight w:val="yellow"/>
              </w:rPr>
              <w:t>Items associated with particularly high risk</w:t>
            </w:r>
          </w:p>
        </w:tc>
        <w:tc>
          <w:tcPr>
            <w:tcW w:w="2498" w:type="dxa"/>
            <w:shd w:val="clear" w:color="auto" w:fill="auto"/>
          </w:tcPr>
          <w:p w14:paraId="305372EC" w14:textId="1C6A6CE2" w:rsidR="00230BFA" w:rsidRPr="00230BFA" w:rsidRDefault="00230BFA" w:rsidP="00230BFA">
            <w:pPr>
              <w:pStyle w:val="norm"/>
              <w:spacing w:line="240" w:lineRule="auto"/>
              <w:jc w:val="left"/>
              <w:rPr>
                <w:i/>
                <w:highlight w:val="yellow"/>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r w:rsidR="00230BFA" w:rsidRPr="00230BFA" w14:paraId="3C4300D4" w14:textId="77777777" w:rsidTr="00230BFA">
        <w:trPr>
          <w:jc w:val="center"/>
        </w:trPr>
        <w:tc>
          <w:tcPr>
            <w:tcW w:w="4876" w:type="dxa"/>
            <w:shd w:val="clear" w:color="auto" w:fill="auto"/>
          </w:tcPr>
          <w:p w14:paraId="5FA9390E" w14:textId="0B87E638" w:rsidR="00230BFA" w:rsidRPr="00230BFA" w:rsidRDefault="00230BFA" w:rsidP="00230BFA">
            <w:pPr>
              <w:pStyle w:val="norm"/>
              <w:spacing w:line="240" w:lineRule="auto"/>
              <w:jc w:val="left"/>
              <w:rPr>
                <w:highlight w:val="yellow"/>
              </w:rPr>
            </w:pPr>
            <w:r w:rsidRPr="00230BFA">
              <w:rPr>
                <w:highlight w:val="yellow"/>
              </w:rPr>
              <w:t>Covered bonds</w:t>
            </w:r>
          </w:p>
        </w:tc>
        <w:tc>
          <w:tcPr>
            <w:tcW w:w="2498" w:type="dxa"/>
            <w:shd w:val="clear" w:color="auto" w:fill="auto"/>
          </w:tcPr>
          <w:p w14:paraId="79FEBA6E" w14:textId="167A002E" w:rsidR="00230BFA" w:rsidRPr="00230BFA" w:rsidRDefault="00230BFA" w:rsidP="00230BFA">
            <w:pPr>
              <w:pStyle w:val="norm"/>
              <w:spacing w:line="240" w:lineRule="auto"/>
              <w:jc w:val="left"/>
              <w:rPr>
                <w:highlight w:val="yellow"/>
              </w:rPr>
            </w:pPr>
            <w:r w:rsidRPr="00230BFA">
              <w:rPr>
                <w:highlight w:val="yellow"/>
              </w:rPr>
              <w:t>Institutions</w:t>
            </w:r>
            <w:r>
              <w:rPr>
                <w:highlight w:val="yellow"/>
              </w:rPr>
              <w:t xml:space="preserve"> (row 390)</w:t>
            </w:r>
          </w:p>
        </w:tc>
      </w:tr>
      <w:tr w:rsidR="00230BFA" w:rsidRPr="00230BFA" w14:paraId="5FE93BE9" w14:textId="77777777" w:rsidTr="00230BFA">
        <w:trPr>
          <w:jc w:val="center"/>
        </w:trPr>
        <w:tc>
          <w:tcPr>
            <w:tcW w:w="4876" w:type="dxa"/>
            <w:shd w:val="clear" w:color="auto" w:fill="auto"/>
          </w:tcPr>
          <w:p w14:paraId="2E61F838" w14:textId="10A170E0" w:rsidR="00230BFA" w:rsidRPr="00230BFA" w:rsidRDefault="00230BFA" w:rsidP="00230BFA">
            <w:pPr>
              <w:pStyle w:val="norm"/>
              <w:spacing w:line="240" w:lineRule="auto"/>
              <w:jc w:val="left"/>
              <w:rPr>
                <w:highlight w:val="yellow"/>
              </w:rPr>
            </w:pPr>
            <w:r w:rsidRPr="00230BFA">
              <w:rPr>
                <w:highlight w:val="yellow"/>
              </w:rPr>
              <w:t>Claims on institutions and corporates with a short-term credit assessment</w:t>
            </w:r>
          </w:p>
        </w:tc>
        <w:tc>
          <w:tcPr>
            <w:tcW w:w="2498" w:type="dxa"/>
            <w:shd w:val="clear" w:color="auto" w:fill="auto"/>
          </w:tcPr>
          <w:p w14:paraId="7F7C5581" w14:textId="39DFEA20" w:rsidR="00230BFA" w:rsidRPr="00230BFA" w:rsidRDefault="00230BFA" w:rsidP="00230BFA">
            <w:pPr>
              <w:pStyle w:val="norm"/>
              <w:spacing w:line="240" w:lineRule="auto"/>
              <w:jc w:val="left"/>
              <w:rPr>
                <w:i/>
                <w:highlight w:val="yellow"/>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r w:rsidR="007D45F9" w:rsidRPr="00230BFA" w14:paraId="0531F2B4" w14:textId="77777777" w:rsidTr="00230BFA">
        <w:trPr>
          <w:jc w:val="center"/>
        </w:trPr>
        <w:tc>
          <w:tcPr>
            <w:tcW w:w="4876" w:type="dxa"/>
            <w:shd w:val="clear" w:color="auto" w:fill="auto"/>
          </w:tcPr>
          <w:p w14:paraId="6E9C7BB3" w14:textId="1F1BCBED" w:rsidR="007D45F9" w:rsidRPr="00230BFA" w:rsidRDefault="007D45F9" w:rsidP="00230BFA">
            <w:pPr>
              <w:pStyle w:val="norm"/>
              <w:spacing w:line="240" w:lineRule="auto"/>
              <w:jc w:val="left"/>
              <w:rPr>
                <w:rFonts w:ascii="Arial" w:hAnsi="Arial" w:cs="Arial"/>
                <w:sz w:val="20"/>
                <w:szCs w:val="20"/>
                <w:highlight w:val="yellow"/>
              </w:rPr>
            </w:pPr>
            <w:r w:rsidRPr="00230BFA">
              <w:rPr>
                <w:highlight w:val="yellow"/>
              </w:rPr>
              <w:t>Claims in the form of CIU</w:t>
            </w:r>
          </w:p>
        </w:tc>
        <w:tc>
          <w:tcPr>
            <w:tcW w:w="2498" w:type="dxa"/>
            <w:shd w:val="clear" w:color="auto" w:fill="auto"/>
          </w:tcPr>
          <w:p w14:paraId="0442793E" w14:textId="1BF5F8F9" w:rsidR="007D45F9" w:rsidRPr="00230BFA" w:rsidRDefault="007D45F9" w:rsidP="00230BFA">
            <w:pPr>
              <w:pStyle w:val="norm"/>
              <w:spacing w:line="240" w:lineRule="auto"/>
              <w:jc w:val="left"/>
              <w:rPr>
                <w:rFonts w:ascii="Arial" w:hAnsi="Arial" w:cs="Arial"/>
                <w:sz w:val="20"/>
                <w:szCs w:val="20"/>
                <w:highlight w:val="yellow"/>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r w:rsidR="00230BFA" w:rsidRPr="00230BFA" w14:paraId="31CDB9CA" w14:textId="77777777" w:rsidTr="00230BFA">
        <w:trPr>
          <w:jc w:val="center"/>
        </w:trPr>
        <w:tc>
          <w:tcPr>
            <w:tcW w:w="4876" w:type="dxa"/>
            <w:shd w:val="clear" w:color="auto" w:fill="auto"/>
          </w:tcPr>
          <w:p w14:paraId="68389930" w14:textId="18A341BA"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Equity exposures</w:t>
            </w:r>
          </w:p>
        </w:tc>
        <w:tc>
          <w:tcPr>
            <w:tcW w:w="2498" w:type="dxa"/>
            <w:shd w:val="clear" w:color="auto" w:fill="auto"/>
          </w:tcPr>
          <w:p w14:paraId="5E59B04F" w14:textId="5E25A72A" w:rsidR="00230BFA" w:rsidRPr="00230BFA" w:rsidRDefault="00230BFA" w:rsidP="00230BFA">
            <w:pPr>
              <w:pStyle w:val="norm"/>
              <w:spacing w:line="240" w:lineRule="auto"/>
              <w:jc w:val="left"/>
              <w:rPr>
                <w:rFonts w:ascii="Arial" w:hAnsi="Arial" w:cs="Arial"/>
                <w:i/>
                <w:sz w:val="20"/>
                <w:szCs w:val="20"/>
                <w:highlight w:val="yellow"/>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r w:rsidR="00230BFA" w:rsidRPr="00DA7242" w14:paraId="529DDFC6" w14:textId="77777777" w:rsidTr="00230BFA">
        <w:trPr>
          <w:jc w:val="center"/>
        </w:trPr>
        <w:tc>
          <w:tcPr>
            <w:tcW w:w="4876" w:type="dxa"/>
            <w:tcBorders>
              <w:bottom w:val="single" w:sz="4" w:space="0" w:color="auto"/>
            </w:tcBorders>
            <w:shd w:val="clear" w:color="auto" w:fill="auto"/>
          </w:tcPr>
          <w:p w14:paraId="12FB91D1" w14:textId="5C0BFED6" w:rsidR="00230BFA" w:rsidRPr="00230BFA" w:rsidRDefault="00230BFA" w:rsidP="00230BFA">
            <w:pPr>
              <w:pStyle w:val="norm"/>
              <w:spacing w:line="240" w:lineRule="auto"/>
              <w:jc w:val="left"/>
              <w:rPr>
                <w:rFonts w:ascii="Arial" w:hAnsi="Arial" w:cs="Arial"/>
                <w:sz w:val="20"/>
                <w:szCs w:val="20"/>
                <w:highlight w:val="yellow"/>
              </w:rPr>
            </w:pPr>
            <w:r w:rsidRPr="00230BFA">
              <w:rPr>
                <w:highlight w:val="yellow"/>
              </w:rPr>
              <w:t>Other items</w:t>
            </w:r>
          </w:p>
        </w:tc>
        <w:tc>
          <w:tcPr>
            <w:tcW w:w="2498" w:type="dxa"/>
            <w:tcBorders>
              <w:bottom w:val="single" w:sz="4" w:space="0" w:color="auto"/>
            </w:tcBorders>
            <w:shd w:val="clear" w:color="auto" w:fill="auto"/>
          </w:tcPr>
          <w:p w14:paraId="5815AD15" w14:textId="658AD26B" w:rsidR="00230BFA" w:rsidRPr="00230BFA" w:rsidRDefault="00230BFA" w:rsidP="00230BFA">
            <w:pPr>
              <w:pStyle w:val="norm"/>
              <w:spacing w:line="240" w:lineRule="auto"/>
              <w:jc w:val="left"/>
              <w:rPr>
                <w:rFonts w:ascii="Arial" w:hAnsi="Arial" w:cs="Arial"/>
                <w:i/>
                <w:sz w:val="20"/>
                <w:szCs w:val="20"/>
              </w:rPr>
            </w:pPr>
            <w:r w:rsidRPr="00230BFA">
              <w:rPr>
                <w:i/>
                <w:highlight w:val="yellow"/>
              </w:rPr>
              <w:t>NA</w:t>
            </w:r>
            <w:r w:rsidRPr="00230BFA">
              <w:rPr>
                <w:highlight w:val="yellow"/>
                <w:vertAlign w:val="superscript"/>
              </w:rPr>
              <w:fldChar w:fldCharType="begin"/>
            </w:r>
            <w:r w:rsidRPr="00230BFA">
              <w:rPr>
                <w:highlight w:val="yellow"/>
                <w:vertAlign w:val="superscript"/>
              </w:rPr>
              <w:instrText xml:space="preserve"> NOTEREF _Ref45618760 \h  \* MERGEFORMAT </w:instrText>
            </w:r>
            <w:r w:rsidRPr="00230BFA">
              <w:rPr>
                <w:highlight w:val="yellow"/>
                <w:vertAlign w:val="superscript"/>
              </w:rPr>
            </w:r>
            <w:r w:rsidRPr="00230BFA">
              <w:rPr>
                <w:highlight w:val="yellow"/>
                <w:vertAlign w:val="superscript"/>
              </w:rPr>
              <w:fldChar w:fldCharType="separate"/>
            </w:r>
            <w:r w:rsidRPr="00230BFA">
              <w:rPr>
                <w:highlight w:val="yellow"/>
                <w:vertAlign w:val="superscript"/>
              </w:rPr>
              <w:t>10</w:t>
            </w:r>
            <w:r w:rsidRPr="00230BFA">
              <w:rPr>
                <w:highlight w:val="yellow"/>
                <w:vertAlign w:val="superscript"/>
              </w:rPr>
              <w:fldChar w:fldCharType="end"/>
            </w:r>
          </w:p>
        </w:tc>
      </w:tr>
    </w:tbl>
    <w:p w14:paraId="3AE10A13" w14:textId="07FBF6AA" w:rsidR="00230BFA" w:rsidRPr="00DA7242" w:rsidRDefault="00230BFA" w:rsidP="00230BFA">
      <w:pPr>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25C930E6"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428FA397"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1B83AE7A"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5C94F1D1" w14:textId="77777777" w:rsidTr="0035689D">
        <w:tc>
          <w:tcPr>
            <w:tcW w:w="1188" w:type="dxa"/>
            <w:tcBorders>
              <w:top w:val="single" w:sz="4" w:space="0" w:color="auto"/>
              <w:left w:val="single" w:sz="4" w:space="0" w:color="auto"/>
              <w:bottom w:val="single" w:sz="4" w:space="0" w:color="auto"/>
              <w:right w:val="single" w:sz="4" w:space="0" w:color="auto"/>
            </w:tcBorders>
          </w:tcPr>
          <w:p w14:paraId="3265B25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02774B5D" w14:textId="269C50A2"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w:t>
            </w:r>
            <w:r w:rsidR="00A950FE" w:rsidRPr="00DA7242">
              <w:rPr>
                <w:rFonts w:ascii="Arial" w:eastAsia="Times New Roman" w:hAnsi="Arial" w:cs="Arial"/>
                <w:b/>
                <w:sz w:val="20"/>
                <w:szCs w:val="20"/>
                <w:u w:val="single"/>
              </w:rPr>
              <w:t>M</w:t>
            </w:r>
            <w:r w:rsidRPr="00DA7242">
              <w:rPr>
                <w:rFonts w:ascii="Arial" w:eastAsia="Times New Roman" w:hAnsi="Arial" w:cs="Arial"/>
                <w:b/>
                <w:sz w:val="20"/>
                <w:szCs w:val="20"/>
                <w:u w:val="single"/>
              </w:rPr>
              <w:t>M or Standardised method</w:t>
            </w:r>
            <w:r w:rsidR="00A950FE" w:rsidRPr="00DA7242">
              <w:rPr>
                <w:rFonts w:ascii="Arial" w:eastAsia="Times New Roman" w:hAnsi="Arial" w:cs="Arial"/>
                <w:b/>
                <w:sz w:val="20"/>
                <w:szCs w:val="20"/>
                <w:u w:val="single"/>
              </w:rPr>
              <w:t>s</w:t>
            </w:r>
          </w:p>
          <w:p w14:paraId="3592D227" w14:textId="55CE0C6D"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Drop-down menu to indicate if the Counterparty Credit Risk </w:t>
            </w:r>
            <w:r w:rsidR="00BD7615" w:rsidRPr="00DA7242">
              <w:rPr>
                <w:rFonts w:ascii="Arial" w:eastAsia="Times New Roman" w:hAnsi="Arial" w:cs="Arial"/>
                <w:sz w:val="20"/>
                <w:szCs w:val="20"/>
              </w:rPr>
              <w:t>e</w:t>
            </w:r>
            <w:r w:rsidRPr="00DA7242">
              <w:rPr>
                <w:rFonts w:ascii="Arial" w:eastAsia="Times New Roman" w:hAnsi="Arial" w:cs="Arial"/>
                <w:sz w:val="20"/>
                <w:szCs w:val="20"/>
              </w:rPr>
              <w:t xml:space="preserve">xposure values are predominantly computed using Internal method or standardised approach </w:t>
            </w:r>
          </w:p>
        </w:tc>
      </w:tr>
      <w:tr w:rsidR="005F106D" w:rsidRPr="00DA7242" w14:paraId="47AC9E66" w14:textId="77777777" w:rsidTr="0035689D">
        <w:tc>
          <w:tcPr>
            <w:tcW w:w="1188" w:type="dxa"/>
            <w:tcBorders>
              <w:top w:val="single" w:sz="4" w:space="0" w:color="auto"/>
              <w:left w:val="single" w:sz="4" w:space="0" w:color="auto"/>
              <w:bottom w:val="single" w:sz="4" w:space="0" w:color="auto"/>
              <w:right w:val="single" w:sz="4" w:space="0" w:color="auto"/>
            </w:tcBorders>
          </w:tcPr>
          <w:p w14:paraId="590DD2F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02641B9D" w14:textId="5CBF8691"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Counterparty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xposure Values calculated according to CRR Part 3, Title II Chapter 6.</w:t>
            </w:r>
          </w:p>
          <w:p w14:paraId="5584187F" w14:textId="0BA3E3C3"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454ACD">
              <w:rPr>
                <w:rFonts w:ascii="Arial" w:eastAsia="Times New Roman" w:hAnsi="Arial" w:cs="Arial"/>
                <w:sz w:val="20"/>
                <w:szCs w:val="20"/>
              </w:rPr>
              <w:t xml:space="preserve">Credit Risk </w:t>
            </w:r>
            <w:r w:rsidRPr="00DA7242">
              <w:rPr>
                <w:rFonts w:ascii="Arial" w:eastAsia="Times New Roman" w:hAnsi="Arial" w:cs="Arial"/>
                <w:sz w:val="20"/>
                <w:szCs w:val="20"/>
              </w:rPr>
              <w:t xml:space="preserve">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alues calculated as per CRR Part 3, Title II, Chapter 6 (Counterparty Credit Risk)</w:t>
            </w:r>
          </w:p>
        </w:tc>
      </w:tr>
      <w:tr w:rsidR="005F106D" w:rsidRPr="00DA7242" w14:paraId="3E076AD2" w14:textId="77777777" w:rsidTr="0035689D">
        <w:tc>
          <w:tcPr>
            <w:tcW w:w="1188" w:type="dxa"/>
            <w:tcBorders>
              <w:top w:val="single" w:sz="4" w:space="0" w:color="auto"/>
              <w:left w:val="single" w:sz="4" w:space="0" w:color="auto"/>
              <w:bottom w:val="single" w:sz="4" w:space="0" w:color="auto"/>
              <w:right w:val="single" w:sz="4" w:space="0" w:color="auto"/>
            </w:tcBorders>
          </w:tcPr>
          <w:p w14:paraId="44458CD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3B39E402" w14:textId="60F88626"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 xml:space="preserve">Of Which: Trades </w:t>
            </w:r>
            <w:r w:rsidR="0049675C" w:rsidRPr="00DA7242">
              <w:rPr>
                <w:rFonts w:ascii="Arial" w:eastAsia="Times New Roman" w:hAnsi="Arial" w:cs="Arial"/>
                <w:b/>
                <w:sz w:val="20"/>
                <w:szCs w:val="20"/>
                <w:u w:val="single"/>
              </w:rPr>
              <w:t>centrally cleared t</w:t>
            </w:r>
            <w:r w:rsidRPr="00DA7242">
              <w:rPr>
                <w:rFonts w:ascii="Arial" w:eastAsia="Times New Roman" w:hAnsi="Arial" w:cs="Arial"/>
                <w:b/>
                <w:sz w:val="20"/>
                <w:szCs w:val="20"/>
                <w:u w:val="single"/>
              </w:rPr>
              <w:t>hrough a CCP</w:t>
            </w:r>
          </w:p>
          <w:p w14:paraId="36ED05E1" w14:textId="2AB34598"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of those trades cleared through a CCP as described in CRR Part 3, Title II, Chapter 6, Section 9: ‘Own funds requirements for exposures to a central counterparty’</w:t>
            </w:r>
          </w:p>
        </w:tc>
      </w:tr>
      <w:tr w:rsidR="005F106D" w:rsidRPr="00DA7242" w14:paraId="12A1E01E" w14:textId="77777777" w:rsidTr="0035689D">
        <w:tc>
          <w:tcPr>
            <w:tcW w:w="1188" w:type="dxa"/>
            <w:tcBorders>
              <w:top w:val="single" w:sz="4" w:space="0" w:color="auto"/>
              <w:left w:val="single" w:sz="4" w:space="0" w:color="auto"/>
              <w:bottom w:val="single" w:sz="4" w:space="0" w:color="auto"/>
              <w:right w:val="single" w:sz="4" w:space="0" w:color="auto"/>
            </w:tcBorders>
          </w:tcPr>
          <w:p w14:paraId="3D99CB3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5015B70D" w14:textId="4E6C77F5"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 xml:space="preserve">Of Which: </w:t>
            </w:r>
            <w:r w:rsidR="0073726C" w:rsidRPr="00DA7242">
              <w:rPr>
                <w:rFonts w:ascii="Arial" w:eastAsia="Times New Roman" w:hAnsi="Arial" w:cs="Arial"/>
                <w:b/>
                <w:sz w:val="20"/>
                <w:szCs w:val="20"/>
                <w:u w:val="single"/>
              </w:rPr>
              <w:t xml:space="preserve">Margined </w:t>
            </w:r>
            <w:r w:rsidR="0049675C" w:rsidRPr="00DA7242">
              <w:rPr>
                <w:rFonts w:ascii="Arial" w:eastAsia="Times New Roman" w:hAnsi="Arial" w:cs="Arial"/>
                <w:b/>
                <w:sz w:val="20"/>
                <w:szCs w:val="20"/>
                <w:u w:val="single"/>
              </w:rPr>
              <w:t xml:space="preserve">trades </w:t>
            </w:r>
            <w:r w:rsidRPr="00DA7242">
              <w:rPr>
                <w:rFonts w:ascii="Arial" w:eastAsia="Times New Roman" w:hAnsi="Arial" w:cs="Arial"/>
                <w:b/>
                <w:sz w:val="20"/>
                <w:szCs w:val="20"/>
                <w:u w:val="single"/>
              </w:rPr>
              <w:t xml:space="preserve">not centrally cleared </w:t>
            </w:r>
            <w:r w:rsidR="0049675C" w:rsidRPr="00DA7242">
              <w:rPr>
                <w:rFonts w:ascii="Arial" w:eastAsia="Times New Roman" w:hAnsi="Arial" w:cs="Arial"/>
                <w:b/>
                <w:sz w:val="20"/>
                <w:szCs w:val="20"/>
                <w:u w:val="single"/>
              </w:rPr>
              <w:t>t</w:t>
            </w:r>
            <w:r w:rsidRPr="00DA7242">
              <w:rPr>
                <w:rFonts w:ascii="Arial" w:eastAsia="Times New Roman" w:hAnsi="Arial" w:cs="Arial"/>
                <w:b/>
                <w:sz w:val="20"/>
                <w:szCs w:val="20"/>
                <w:u w:val="single"/>
              </w:rPr>
              <w:t>hrough a CCP</w:t>
            </w:r>
          </w:p>
          <w:p w14:paraId="6C1C3ECB" w14:textId="462E7F2D" w:rsidR="005F106D" w:rsidRPr="00DA7242" w:rsidRDefault="005F106D" w:rsidP="00060EFB">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 of those </w:t>
            </w:r>
            <w:r w:rsidR="0073726C" w:rsidRPr="00DA7242">
              <w:rPr>
                <w:rFonts w:ascii="Arial" w:eastAsia="Times New Roman" w:hAnsi="Arial" w:cs="Arial"/>
                <w:sz w:val="20"/>
                <w:szCs w:val="20"/>
              </w:rPr>
              <w:t>margined</w:t>
            </w:r>
            <w:r w:rsidRPr="00DA7242">
              <w:rPr>
                <w:rFonts w:ascii="Arial" w:eastAsia="Times New Roman" w:hAnsi="Arial" w:cs="Arial"/>
                <w:sz w:val="20"/>
                <w:szCs w:val="20"/>
              </w:rPr>
              <w:t xml:space="preserve"> trades</w:t>
            </w:r>
            <w:r w:rsidR="00454ACD">
              <w:rPr>
                <w:rFonts w:ascii="Arial" w:eastAsia="Times New Roman" w:hAnsi="Arial" w:cs="Arial"/>
                <w:sz w:val="20"/>
                <w:szCs w:val="20"/>
              </w:rPr>
              <w:t xml:space="preserve"> </w:t>
            </w:r>
            <w:r w:rsidR="00454ACD" w:rsidRPr="002374DD">
              <w:rPr>
                <w:rFonts w:ascii="Arial" w:eastAsia="Times New Roman" w:hAnsi="Arial" w:cs="Arial"/>
                <w:sz w:val="20"/>
                <w:szCs w:val="20"/>
              </w:rPr>
              <w:t>(e.g. OTC</w:t>
            </w:r>
            <w:r w:rsidR="006F7519" w:rsidRPr="002374DD">
              <w:rPr>
                <w:rFonts w:ascii="Arial" w:eastAsia="Times New Roman" w:hAnsi="Arial" w:cs="Arial"/>
                <w:sz w:val="20"/>
                <w:szCs w:val="20"/>
              </w:rPr>
              <w:t xml:space="preserve"> transaction</w:t>
            </w:r>
            <w:r w:rsidR="00454ACD" w:rsidRPr="002374DD">
              <w:rPr>
                <w:rFonts w:ascii="Arial" w:eastAsia="Times New Roman" w:hAnsi="Arial" w:cs="Arial"/>
                <w:sz w:val="20"/>
                <w:szCs w:val="20"/>
              </w:rPr>
              <w:t>,  exchange</w:t>
            </w:r>
            <w:r w:rsidR="006F7519" w:rsidRPr="002374DD">
              <w:rPr>
                <w:rFonts w:ascii="Arial" w:eastAsia="Times New Roman" w:hAnsi="Arial" w:cs="Arial"/>
                <w:sz w:val="20"/>
                <w:szCs w:val="20"/>
              </w:rPr>
              <w:t xml:space="preserve"> traded derivatives</w:t>
            </w:r>
            <w:r w:rsidR="00454ACD" w:rsidRPr="002374DD">
              <w:rPr>
                <w:rFonts w:ascii="Arial" w:eastAsia="Times New Roman" w:hAnsi="Arial" w:cs="Arial"/>
                <w:sz w:val="20"/>
                <w:szCs w:val="20"/>
              </w:rPr>
              <w:t>, SFT,…)</w:t>
            </w:r>
            <w:r w:rsidRPr="00DA7242">
              <w:rPr>
                <w:rFonts w:ascii="Arial" w:eastAsia="Times New Roman" w:hAnsi="Arial" w:cs="Arial"/>
                <w:sz w:val="20"/>
                <w:szCs w:val="20"/>
              </w:rPr>
              <w:t xml:space="preserve"> that are not cleared through a CCP</w:t>
            </w:r>
          </w:p>
        </w:tc>
      </w:tr>
      <w:tr w:rsidR="005F106D" w:rsidRPr="00DA7242" w14:paraId="5887B177" w14:textId="77777777" w:rsidTr="0035689D">
        <w:tc>
          <w:tcPr>
            <w:tcW w:w="1188" w:type="dxa"/>
            <w:tcBorders>
              <w:top w:val="single" w:sz="4" w:space="0" w:color="auto"/>
              <w:left w:val="single" w:sz="4" w:space="0" w:color="auto"/>
              <w:bottom w:val="single" w:sz="4" w:space="0" w:color="auto"/>
              <w:right w:val="single" w:sz="4" w:space="0" w:color="auto"/>
            </w:tcBorders>
          </w:tcPr>
          <w:p w14:paraId="671FA7C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4475598F" w14:textId="6E7CD23C"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Of Which: Non</w:t>
            </w:r>
            <w:r w:rsidR="0049675C" w:rsidRPr="00DA7242">
              <w:rPr>
                <w:rFonts w:ascii="Arial" w:eastAsia="Times New Roman" w:hAnsi="Arial" w:cs="Arial"/>
                <w:b/>
                <w:sz w:val="20"/>
                <w:szCs w:val="20"/>
                <w:u w:val="single"/>
              </w:rPr>
              <w:t xml:space="preserve"> </w:t>
            </w:r>
            <w:r w:rsidR="00AD4F56" w:rsidRPr="00DA7242">
              <w:rPr>
                <w:rFonts w:ascii="Arial" w:eastAsia="Times New Roman" w:hAnsi="Arial" w:cs="Arial"/>
                <w:b/>
                <w:sz w:val="20"/>
                <w:szCs w:val="20"/>
                <w:u w:val="single"/>
              </w:rPr>
              <w:t>collateralised/</w:t>
            </w:r>
            <w:r w:rsidR="0073726C" w:rsidRPr="00DA7242">
              <w:rPr>
                <w:rFonts w:ascii="Arial" w:eastAsia="Times New Roman" w:hAnsi="Arial" w:cs="Arial"/>
                <w:b/>
                <w:sz w:val="20"/>
                <w:szCs w:val="20"/>
                <w:u w:val="single"/>
              </w:rPr>
              <w:t>margined</w:t>
            </w:r>
            <w:r w:rsidR="00454ACD">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trades</w:t>
            </w:r>
          </w:p>
          <w:p w14:paraId="64F9A6FA" w14:textId="0EF4DF91"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of those OTC trades that are n</w:t>
            </w:r>
            <w:r w:rsidR="00AD4F56" w:rsidRPr="00DA7242">
              <w:rPr>
                <w:rFonts w:ascii="Arial" w:eastAsia="Times New Roman" w:hAnsi="Arial" w:cs="Arial"/>
                <w:sz w:val="20"/>
                <w:szCs w:val="20"/>
              </w:rPr>
              <w:t xml:space="preserve">either subject to bilateral margining </w:t>
            </w:r>
            <w:r w:rsidRPr="00DA7242">
              <w:rPr>
                <w:rFonts w:ascii="Arial" w:eastAsia="Times New Roman" w:hAnsi="Arial" w:cs="Arial"/>
                <w:sz w:val="20"/>
                <w:szCs w:val="20"/>
              </w:rPr>
              <w:t>nor are cleared through a CCP</w:t>
            </w:r>
          </w:p>
        </w:tc>
      </w:tr>
      <w:tr w:rsidR="005F106D" w:rsidRPr="00DA7242" w14:paraId="7935FF49" w14:textId="77777777" w:rsidTr="0035689D">
        <w:tc>
          <w:tcPr>
            <w:tcW w:w="1188" w:type="dxa"/>
            <w:tcBorders>
              <w:top w:val="single" w:sz="4" w:space="0" w:color="auto"/>
              <w:left w:val="single" w:sz="4" w:space="0" w:color="auto"/>
              <w:bottom w:val="single" w:sz="4" w:space="0" w:color="auto"/>
              <w:right w:val="single" w:sz="4" w:space="0" w:color="auto"/>
            </w:tcBorders>
          </w:tcPr>
          <w:p w14:paraId="68B00A9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4493B71F" w14:textId="795347E8"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Counterparty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 xml:space="preserve">xposure </w:t>
            </w:r>
            <w:r w:rsidR="00BD7615" w:rsidRPr="00DA7242">
              <w:rPr>
                <w:rFonts w:ascii="Arial" w:eastAsia="Times New Roman" w:hAnsi="Arial" w:cs="Arial"/>
                <w:b/>
                <w:sz w:val="20"/>
                <w:szCs w:val="20"/>
                <w:u w:val="single"/>
              </w:rPr>
              <w:t>v</w:t>
            </w:r>
            <w:r w:rsidRPr="00DA7242">
              <w:rPr>
                <w:rFonts w:ascii="Arial" w:eastAsia="Times New Roman" w:hAnsi="Arial" w:cs="Arial"/>
                <w:b/>
                <w:sz w:val="20"/>
                <w:szCs w:val="20"/>
                <w:u w:val="single"/>
              </w:rPr>
              <w:t>alues calculated according to CRR Part 3, Title II Chapter 6.</w:t>
            </w:r>
          </w:p>
          <w:p w14:paraId="71E4FFCB" w14:textId="4A568EAC"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alues (calculated according to CRR Part 3, Title II Chapter 6) for Counterparty under default/restructuring management, pre default management, </w:t>
            </w:r>
            <w:proofErr w:type="spellStart"/>
            <w:r w:rsidRPr="00DA7242">
              <w:rPr>
                <w:rFonts w:ascii="Arial" w:eastAsia="Times New Roman" w:hAnsi="Arial" w:cs="Arial"/>
                <w:sz w:val="20"/>
                <w:szCs w:val="20"/>
              </w:rPr>
              <w:t>watchlist</w:t>
            </w:r>
            <w:proofErr w:type="spellEnd"/>
            <w:r w:rsidRPr="00DA7242">
              <w:rPr>
                <w:rFonts w:ascii="Arial" w:eastAsia="Times New Roman" w:hAnsi="Arial" w:cs="Arial"/>
                <w:sz w:val="20"/>
                <w:szCs w:val="20"/>
              </w:rPr>
              <w:t>.</w:t>
            </w:r>
          </w:p>
        </w:tc>
      </w:tr>
      <w:tr w:rsidR="005F106D" w:rsidRPr="00DA7242" w14:paraId="00E97E44" w14:textId="77777777" w:rsidTr="0035689D">
        <w:tc>
          <w:tcPr>
            <w:tcW w:w="1188" w:type="dxa"/>
            <w:tcBorders>
              <w:top w:val="single" w:sz="4" w:space="0" w:color="auto"/>
              <w:left w:val="single" w:sz="4" w:space="0" w:color="auto"/>
              <w:bottom w:val="single" w:sz="4" w:space="0" w:color="auto"/>
              <w:right w:val="single" w:sz="4" w:space="0" w:color="auto"/>
            </w:tcBorders>
          </w:tcPr>
          <w:p w14:paraId="278F8D2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4925FD5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Number of  Counterpart</w:t>
            </w:r>
            <w:r w:rsidR="00724165" w:rsidRPr="00DA7242">
              <w:rPr>
                <w:rFonts w:ascii="Arial" w:eastAsia="Times New Roman" w:hAnsi="Arial" w:cs="Arial"/>
                <w:b/>
                <w:sz w:val="20"/>
                <w:szCs w:val="20"/>
                <w:u w:val="single"/>
              </w:rPr>
              <w:t>ies</w:t>
            </w:r>
            <w:r w:rsidRPr="00DA7242">
              <w:rPr>
                <w:rFonts w:ascii="Arial" w:eastAsia="Times New Roman" w:hAnsi="Arial" w:cs="Arial"/>
                <w:b/>
                <w:sz w:val="20"/>
                <w:szCs w:val="20"/>
                <w:u w:val="single"/>
              </w:rPr>
              <w:t xml:space="preserve"> (Month end)</w:t>
            </w:r>
          </w:p>
          <w:p w14:paraId="5174979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count of counterparties under any default/restructuring management, pre default management or watch list</w:t>
            </w:r>
          </w:p>
        </w:tc>
      </w:tr>
    </w:tbl>
    <w:p w14:paraId="189D9F78"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1437EDB1"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71FB6AE0"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55400620"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7A4346FF" w14:textId="77777777" w:rsidTr="0035689D">
        <w:tc>
          <w:tcPr>
            <w:tcW w:w="1188" w:type="dxa"/>
            <w:tcBorders>
              <w:top w:val="single" w:sz="4" w:space="0" w:color="auto"/>
              <w:left w:val="single" w:sz="4" w:space="0" w:color="auto"/>
              <w:bottom w:val="single" w:sz="4" w:space="0" w:color="auto"/>
              <w:right w:val="single" w:sz="4" w:space="0" w:color="auto"/>
            </w:tcBorders>
          </w:tcPr>
          <w:p w14:paraId="40A660A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0360</w:t>
            </w:r>
          </w:p>
        </w:tc>
        <w:tc>
          <w:tcPr>
            <w:tcW w:w="8559" w:type="dxa"/>
            <w:tcBorders>
              <w:top w:val="single" w:sz="4" w:space="0" w:color="auto"/>
              <w:left w:val="single" w:sz="4" w:space="0" w:color="auto"/>
              <w:bottom w:val="single" w:sz="4" w:space="0" w:color="auto"/>
              <w:right w:val="single" w:sz="4" w:space="0" w:color="auto"/>
            </w:tcBorders>
          </w:tcPr>
          <w:p w14:paraId="49D6360A" w14:textId="6A484459"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Indicate if </w:t>
            </w:r>
            <w:proofErr w:type="spellStart"/>
            <w:r w:rsidRPr="00DA7242">
              <w:rPr>
                <w:rFonts w:ascii="Arial" w:eastAsia="Times New Roman" w:hAnsi="Arial" w:cs="Arial"/>
                <w:b/>
                <w:sz w:val="20"/>
                <w:szCs w:val="20"/>
                <w:u w:val="single"/>
              </w:rPr>
              <w:t>Cpty</w:t>
            </w:r>
            <w:proofErr w:type="spellEnd"/>
            <w:r w:rsidRPr="00DA7242">
              <w:rPr>
                <w:rFonts w:ascii="Arial" w:eastAsia="Times New Roman" w:hAnsi="Arial" w:cs="Arial"/>
                <w:b/>
                <w:sz w:val="20"/>
                <w:szCs w:val="20"/>
                <w:u w:val="single"/>
              </w:rPr>
              <w:t xml:space="preserve">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xposure value is predominantly computed using Internal method or standardised approach</w:t>
            </w:r>
            <w:r w:rsidR="0073726C" w:rsidRPr="00DA7242">
              <w:rPr>
                <w:rFonts w:ascii="Arial" w:eastAsia="Times New Roman" w:hAnsi="Arial" w:cs="Arial"/>
                <w:b/>
                <w:sz w:val="20"/>
                <w:szCs w:val="20"/>
                <w:u w:val="single"/>
              </w:rPr>
              <w:t>es</w:t>
            </w:r>
          </w:p>
          <w:p w14:paraId="39E3FBE5" w14:textId="717300F1"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Indicate using the drop-down menu if the Counterparty Credit Risk </w:t>
            </w:r>
            <w:r w:rsidR="00BD7615" w:rsidRPr="00DA7242">
              <w:rPr>
                <w:rFonts w:ascii="Arial" w:eastAsia="Times New Roman" w:hAnsi="Arial" w:cs="Arial"/>
                <w:sz w:val="20"/>
                <w:szCs w:val="20"/>
              </w:rPr>
              <w:t>e</w:t>
            </w:r>
            <w:r w:rsidRPr="00DA7242">
              <w:rPr>
                <w:rFonts w:ascii="Arial" w:eastAsia="Times New Roman" w:hAnsi="Arial" w:cs="Arial"/>
                <w:sz w:val="20"/>
                <w:szCs w:val="20"/>
              </w:rPr>
              <w:t>xposure values are predominantly computed using Internal method or standardised approach</w:t>
            </w:r>
          </w:p>
        </w:tc>
      </w:tr>
      <w:tr w:rsidR="005F106D" w:rsidRPr="00DA7242" w14:paraId="7BF46E94" w14:textId="77777777" w:rsidTr="0035689D">
        <w:tc>
          <w:tcPr>
            <w:tcW w:w="1188" w:type="dxa"/>
            <w:tcBorders>
              <w:top w:val="single" w:sz="4" w:space="0" w:color="auto"/>
              <w:left w:val="single" w:sz="4" w:space="0" w:color="auto"/>
              <w:bottom w:val="single" w:sz="4" w:space="0" w:color="auto"/>
              <w:right w:val="single" w:sz="4" w:space="0" w:color="auto"/>
            </w:tcBorders>
          </w:tcPr>
          <w:p w14:paraId="0207976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0370</w:t>
            </w:r>
          </w:p>
        </w:tc>
        <w:tc>
          <w:tcPr>
            <w:tcW w:w="8559" w:type="dxa"/>
            <w:tcBorders>
              <w:top w:val="single" w:sz="4" w:space="0" w:color="auto"/>
              <w:left w:val="single" w:sz="4" w:space="0" w:color="auto"/>
              <w:bottom w:val="single" w:sz="4" w:space="0" w:color="auto"/>
              <w:right w:val="single" w:sz="4" w:space="0" w:color="auto"/>
            </w:tcBorders>
          </w:tcPr>
          <w:p w14:paraId="784914E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w:t>
            </w:r>
          </w:p>
          <w:p w14:paraId="26B4AA42" w14:textId="3DF10570"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Credit Risk </w:t>
            </w:r>
            <w:r w:rsidR="00BD7615" w:rsidRPr="00DA7242">
              <w:rPr>
                <w:rFonts w:ascii="Arial" w:eastAsia="Times New Roman" w:hAnsi="Arial" w:cs="Arial"/>
                <w:sz w:val="20"/>
                <w:szCs w:val="20"/>
              </w:rPr>
              <w:t>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alues calculated according to CRR Part 3, Title II Chapter 6, or total count of “Counterparty under default/restructuring management, pre default management, or </w:t>
            </w:r>
            <w:proofErr w:type="spellStart"/>
            <w:r w:rsidRPr="00DA7242">
              <w:rPr>
                <w:rFonts w:ascii="Arial" w:eastAsia="Times New Roman" w:hAnsi="Arial" w:cs="Arial"/>
                <w:sz w:val="20"/>
                <w:szCs w:val="20"/>
              </w:rPr>
              <w:t>watchlist</w:t>
            </w:r>
            <w:proofErr w:type="spellEnd"/>
            <w:r w:rsidRPr="00DA7242">
              <w:rPr>
                <w:rFonts w:ascii="Arial" w:eastAsia="Times New Roman" w:hAnsi="Arial" w:cs="Arial"/>
                <w:sz w:val="20"/>
                <w:szCs w:val="20"/>
              </w:rPr>
              <w:t>”</w:t>
            </w:r>
          </w:p>
        </w:tc>
      </w:tr>
      <w:tr w:rsidR="005F106D" w:rsidRPr="00DA7242" w14:paraId="387F2054" w14:textId="77777777" w:rsidTr="0035689D">
        <w:tc>
          <w:tcPr>
            <w:tcW w:w="1188" w:type="dxa"/>
            <w:tcBorders>
              <w:top w:val="single" w:sz="4" w:space="0" w:color="auto"/>
              <w:left w:val="single" w:sz="4" w:space="0" w:color="auto"/>
              <w:bottom w:val="single" w:sz="4" w:space="0" w:color="auto"/>
              <w:right w:val="single" w:sz="4" w:space="0" w:color="auto"/>
            </w:tcBorders>
          </w:tcPr>
          <w:p w14:paraId="6B43245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0380</w:t>
            </w:r>
          </w:p>
        </w:tc>
        <w:tc>
          <w:tcPr>
            <w:tcW w:w="8559" w:type="dxa"/>
            <w:tcBorders>
              <w:top w:val="single" w:sz="4" w:space="0" w:color="auto"/>
              <w:left w:val="single" w:sz="4" w:space="0" w:color="auto"/>
              <w:bottom w:val="single" w:sz="4" w:space="0" w:color="auto"/>
              <w:right w:val="single" w:sz="4" w:space="0" w:color="auto"/>
            </w:tcBorders>
          </w:tcPr>
          <w:p w14:paraId="09D6121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Government</w:t>
            </w:r>
          </w:p>
          <w:p w14:paraId="7481F41E" w14:textId="626A5E52"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hAnsi="Arial" w:cs="Arial"/>
                <w:sz w:val="20"/>
                <w:szCs w:val="20"/>
              </w:rPr>
              <w:t xml:space="preserve">Refer to values of the Counterparty Credit Risk </w:t>
            </w:r>
            <w:r w:rsidR="00BD7615" w:rsidRPr="00DA7242">
              <w:rPr>
                <w:rFonts w:ascii="Arial" w:hAnsi="Arial" w:cs="Arial"/>
                <w:sz w:val="20"/>
                <w:szCs w:val="20"/>
              </w:rPr>
              <w:t>e</w:t>
            </w:r>
            <w:r w:rsidRPr="00DA7242">
              <w:rPr>
                <w:rFonts w:ascii="Arial" w:hAnsi="Arial" w:cs="Arial"/>
                <w:sz w:val="20"/>
                <w:szCs w:val="20"/>
              </w:rPr>
              <w:t>xposure to counterparty assigned to “Government” exposure class as per CRR definition</w:t>
            </w:r>
          </w:p>
        </w:tc>
      </w:tr>
      <w:tr w:rsidR="005F106D" w:rsidRPr="00DA7242" w14:paraId="58D8FA50" w14:textId="77777777" w:rsidTr="0035689D">
        <w:tc>
          <w:tcPr>
            <w:tcW w:w="1188" w:type="dxa"/>
            <w:tcBorders>
              <w:top w:val="single" w:sz="4" w:space="0" w:color="auto"/>
              <w:left w:val="single" w:sz="4" w:space="0" w:color="auto"/>
              <w:bottom w:val="single" w:sz="4" w:space="0" w:color="auto"/>
              <w:right w:val="single" w:sz="4" w:space="0" w:color="auto"/>
            </w:tcBorders>
          </w:tcPr>
          <w:p w14:paraId="0008130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0390</w:t>
            </w:r>
          </w:p>
        </w:tc>
        <w:tc>
          <w:tcPr>
            <w:tcW w:w="8559" w:type="dxa"/>
            <w:tcBorders>
              <w:top w:val="single" w:sz="4" w:space="0" w:color="auto"/>
              <w:left w:val="single" w:sz="4" w:space="0" w:color="auto"/>
              <w:bottom w:val="single" w:sz="4" w:space="0" w:color="auto"/>
              <w:right w:val="single" w:sz="4" w:space="0" w:color="auto"/>
            </w:tcBorders>
          </w:tcPr>
          <w:p w14:paraId="50CFC013" w14:textId="7777777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Institutions</w:t>
            </w:r>
          </w:p>
          <w:p w14:paraId="4D087763" w14:textId="25B15851"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hAnsi="Arial" w:cs="Arial"/>
                <w:sz w:val="20"/>
                <w:szCs w:val="20"/>
              </w:rPr>
              <w:t xml:space="preserve">Refer to values of the Counterparty Credit Risk </w:t>
            </w:r>
            <w:r w:rsidR="00BD7615" w:rsidRPr="00DA7242">
              <w:rPr>
                <w:rFonts w:ascii="Arial" w:hAnsi="Arial" w:cs="Arial"/>
                <w:sz w:val="20"/>
                <w:szCs w:val="20"/>
              </w:rPr>
              <w:t>e</w:t>
            </w:r>
            <w:r w:rsidRPr="00DA7242">
              <w:rPr>
                <w:rFonts w:ascii="Arial" w:hAnsi="Arial" w:cs="Arial"/>
                <w:sz w:val="20"/>
                <w:szCs w:val="20"/>
              </w:rPr>
              <w:t>xposure to counterparty assigned to “Institutions” exposure class as per CRR definition</w:t>
            </w:r>
          </w:p>
        </w:tc>
      </w:tr>
      <w:tr w:rsidR="005F106D" w:rsidRPr="00DA7242" w14:paraId="5CB30842" w14:textId="77777777" w:rsidTr="0035689D">
        <w:tc>
          <w:tcPr>
            <w:tcW w:w="1188" w:type="dxa"/>
            <w:tcBorders>
              <w:top w:val="single" w:sz="4" w:space="0" w:color="auto"/>
              <w:left w:val="single" w:sz="4" w:space="0" w:color="auto"/>
              <w:bottom w:val="single" w:sz="4" w:space="0" w:color="auto"/>
              <w:right w:val="single" w:sz="4" w:space="0" w:color="auto"/>
            </w:tcBorders>
          </w:tcPr>
          <w:p w14:paraId="1707B7B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0400</w:t>
            </w:r>
          </w:p>
        </w:tc>
        <w:tc>
          <w:tcPr>
            <w:tcW w:w="8559" w:type="dxa"/>
            <w:tcBorders>
              <w:top w:val="single" w:sz="4" w:space="0" w:color="auto"/>
              <w:left w:val="single" w:sz="4" w:space="0" w:color="auto"/>
              <w:bottom w:val="single" w:sz="4" w:space="0" w:color="auto"/>
              <w:right w:val="single" w:sz="4" w:space="0" w:color="auto"/>
            </w:tcBorders>
          </w:tcPr>
          <w:p w14:paraId="1E209DF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Corporate</w:t>
            </w:r>
          </w:p>
          <w:p w14:paraId="64599B98" w14:textId="1F95DDD1"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hAnsi="Arial" w:cs="Arial"/>
                <w:sz w:val="20"/>
                <w:szCs w:val="20"/>
              </w:rPr>
              <w:t xml:space="preserve">Refer to values of the Counterparty Credit Risk </w:t>
            </w:r>
            <w:r w:rsidR="00BD7615" w:rsidRPr="00DA7242">
              <w:rPr>
                <w:rFonts w:ascii="Arial" w:hAnsi="Arial" w:cs="Arial"/>
                <w:sz w:val="20"/>
                <w:szCs w:val="20"/>
              </w:rPr>
              <w:t>e</w:t>
            </w:r>
            <w:r w:rsidRPr="00DA7242">
              <w:rPr>
                <w:rFonts w:ascii="Arial" w:hAnsi="Arial" w:cs="Arial"/>
                <w:sz w:val="20"/>
                <w:szCs w:val="20"/>
              </w:rPr>
              <w:t>xposure to counterparty assigned to “Corporate” exposure class as per CRR definition</w:t>
            </w:r>
          </w:p>
        </w:tc>
      </w:tr>
    </w:tbl>
    <w:p w14:paraId="5B50B759" w14:textId="77777777" w:rsidR="005F106D" w:rsidRPr="00DA7242" w:rsidRDefault="005F106D" w:rsidP="005F106D">
      <w:pPr>
        <w:jc w:val="both"/>
        <w:rPr>
          <w:rFonts w:ascii="Arial" w:hAnsi="Arial" w:cs="Arial"/>
          <w:sz w:val="20"/>
          <w:szCs w:val="20"/>
        </w:rPr>
      </w:pPr>
    </w:p>
    <w:p w14:paraId="4296B656" w14:textId="38B44B8B"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6: Counterparty </w:t>
      </w:r>
      <w:r w:rsidR="004A1851" w:rsidRPr="00DA7242">
        <w:rPr>
          <w:rFonts w:ascii="Arial" w:hAnsi="Arial" w:cs="Arial"/>
          <w:b/>
          <w:sz w:val="20"/>
          <w:szCs w:val="20"/>
        </w:rPr>
        <w:t xml:space="preserve">–Credit Risk - </w:t>
      </w:r>
      <w:r w:rsidRPr="00DA7242">
        <w:rPr>
          <w:rFonts w:ascii="Arial" w:hAnsi="Arial" w:cs="Arial"/>
          <w:b/>
          <w:sz w:val="20"/>
          <w:szCs w:val="20"/>
        </w:rPr>
        <w:t>Stress</w:t>
      </w:r>
      <w:r w:rsidR="0073726C" w:rsidRPr="00DA7242">
        <w:rPr>
          <w:rFonts w:ascii="Arial" w:hAnsi="Arial" w:cs="Arial"/>
          <w:b/>
          <w:sz w:val="20"/>
          <w:szCs w:val="20"/>
        </w:rPr>
        <w:t xml:space="preserve"> test</w:t>
      </w:r>
      <w:r w:rsidRPr="00DA7242">
        <w:rPr>
          <w:rFonts w:ascii="Arial" w:hAnsi="Arial" w:cs="Arial"/>
          <w:b/>
          <w:sz w:val="20"/>
          <w:szCs w:val="20"/>
        </w:rPr>
        <w:t xml:space="preserve"> </w:t>
      </w:r>
      <w:r w:rsidR="00BD7615" w:rsidRPr="00DA7242">
        <w:rPr>
          <w:rFonts w:ascii="Arial" w:hAnsi="Arial" w:cs="Arial"/>
          <w:b/>
          <w:sz w:val="20"/>
          <w:szCs w:val="20"/>
        </w:rPr>
        <w:t>e</w:t>
      </w:r>
      <w:r w:rsidRPr="00DA7242">
        <w:rPr>
          <w:rFonts w:ascii="Arial" w:hAnsi="Arial" w:cs="Arial"/>
          <w:b/>
          <w:sz w:val="20"/>
          <w:szCs w:val="20"/>
        </w:rPr>
        <w:t xml:space="preserve">xposure </w:t>
      </w:r>
      <w:r w:rsidR="00BD7615" w:rsidRPr="00DA7242">
        <w:rPr>
          <w:rFonts w:ascii="Arial" w:hAnsi="Arial" w:cs="Arial"/>
          <w:b/>
          <w:sz w:val="20"/>
          <w:szCs w:val="20"/>
        </w:rPr>
        <w:t>v</w:t>
      </w:r>
      <w:r w:rsidRPr="00DA7242">
        <w:rPr>
          <w:rFonts w:ascii="Arial" w:hAnsi="Arial" w:cs="Arial"/>
          <w:b/>
          <w:sz w:val="20"/>
          <w:szCs w:val="20"/>
        </w:rPr>
        <w:t>alue: Worst case scenario</w:t>
      </w:r>
    </w:p>
    <w:p w14:paraId="2ADDD563" w14:textId="77C2DB0D"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This template requests information on the effect of the institution’s internal market stress scenarios on the Counterparty Credit Risk </w:t>
      </w:r>
      <w:r w:rsidR="00BD7615" w:rsidRPr="00DA7242">
        <w:rPr>
          <w:rFonts w:ascii="Arial" w:hAnsi="Arial" w:cs="Arial"/>
          <w:sz w:val="20"/>
          <w:szCs w:val="20"/>
        </w:rPr>
        <w:t>e</w:t>
      </w:r>
      <w:r w:rsidRPr="00DA7242">
        <w:rPr>
          <w:rFonts w:ascii="Arial" w:hAnsi="Arial" w:cs="Arial"/>
          <w:sz w:val="20"/>
          <w:szCs w:val="20"/>
        </w:rPr>
        <w:t>xposure as computed in CRR Part 3, Title II Chapter 6 (Counterparty Credit Risk).</w:t>
      </w:r>
      <w:r w:rsidR="0073726C" w:rsidRPr="00DA7242">
        <w:rPr>
          <w:rFonts w:ascii="Arial" w:hAnsi="Arial" w:cs="Arial"/>
          <w:sz w:val="20"/>
          <w:szCs w:val="20"/>
        </w:rPr>
        <w:t xml:space="preserve"> This Table is only required for banks using the Internal Model Method.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13521B9A"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B501022"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6987A1AB"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73974AF8" w14:textId="77777777" w:rsidTr="0035689D">
        <w:tc>
          <w:tcPr>
            <w:tcW w:w="1188" w:type="dxa"/>
            <w:tcBorders>
              <w:top w:val="single" w:sz="4" w:space="0" w:color="auto"/>
              <w:left w:val="single" w:sz="4" w:space="0" w:color="auto"/>
              <w:bottom w:val="single" w:sz="4" w:space="0" w:color="auto"/>
              <w:right w:val="single" w:sz="4" w:space="0" w:color="auto"/>
            </w:tcBorders>
          </w:tcPr>
          <w:p w14:paraId="4FF9ADC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388D568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Name</w:t>
            </w:r>
          </w:p>
          <w:p w14:paraId="213E718F" w14:textId="095A6D79"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Indicate the name of the </w:t>
            </w:r>
            <w:r w:rsidRPr="00DA7242">
              <w:rPr>
                <w:rFonts w:ascii="Arial" w:hAnsi="Arial" w:cs="Arial"/>
                <w:sz w:val="20"/>
                <w:szCs w:val="20"/>
              </w:rPr>
              <w:t xml:space="preserve">institution’s internal market stress scenarios on the Counterparty Credit Risk </w:t>
            </w:r>
            <w:r w:rsidR="00BD7615" w:rsidRPr="00DA7242">
              <w:rPr>
                <w:rFonts w:ascii="Arial" w:hAnsi="Arial" w:cs="Arial"/>
                <w:sz w:val="20"/>
                <w:szCs w:val="20"/>
              </w:rPr>
              <w:t>e</w:t>
            </w:r>
            <w:r w:rsidRPr="00DA7242">
              <w:rPr>
                <w:rFonts w:ascii="Arial" w:hAnsi="Arial" w:cs="Arial"/>
                <w:sz w:val="20"/>
                <w:szCs w:val="20"/>
              </w:rPr>
              <w:t>xposure</w:t>
            </w:r>
          </w:p>
        </w:tc>
      </w:tr>
      <w:tr w:rsidR="005F106D" w:rsidRPr="00DA7242" w14:paraId="5A36022A" w14:textId="77777777" w:rsidTr="0035689D">
        <w:tc>
          <w:tcPr>
            <w:tcW w:w="1188" w:type="dxa"/>
            <w:tcBorders>
              <w:top w:val="single" w:sz="4" w:space="0" w:color="auto"/>
              <w:left w:val="single" w:sz="4" w:space="0" w:color="auto"/>
              <w:bottom w:val="single" w:sz="4" w:space="0" w:color="auto"/>
              <w:right w:val="single" w:sz="4" w:space="0" w:color="auto"/>
            </w:tcBorders>
          </w:tcPr>
          <w:p w14:paraId="0E240C0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17ED11E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Stress scenario description</w:t>
            </w:r>
          </w:p>
          <w:p w14:paraId="7CD388D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Free field to describe the main features of the stress scenario in terms of either the scenario’s impact on market risk factors (e.g. interest rates, exchange rates, equity prices); or if the scenario is based on an historic event, the description, date and duration of the stress event.</w:t>
            </w:r>
          </w:p>
        </w:tc>
      </w:tr>
      <w:tr w:rsidR="005F106D" w:rsidRPr="00DA7242" w14:paraId="46D30061" w14:textId="77777777" w:rsidTr="0035689D">
        <w:tc>
          <w:tcPr>
            <w:tcW w:w="1188" w:type="dxa"/>
            <w:tcBorders>
              <w:top w:val="single" w:sz="4" w:space="0" w:color="auto"/>
              <w:left w:val="single" w:sz="4" w:space="0" w:color="auto"/>
              <w:bottom w:val="single" w:sz="4" w:space="0" w:color="auto"/>
              <w:right w:val="single" w:sz="4" w:space="0" w:color="auto"/>
            </w:tcBorders>
          </w:tcPr>
          <w:p w14:paraId="64FDDF8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7A75D2FA" w14:textId="686865DF"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Total Counterparty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 xml:space="preserve">xposure </w:t>
            </w:r>
            <w:r w:rsidR="00BD7615" w:rsidRPr="00DA7242">
              <w:rPr>
                <w:rFonts w:ascii="Arial" w:eastAsia="Times New Roman" w:hAnsi="Arial" w:cs="Arial"/>
                <w:b/>
                <w:sz w:val="20"/>
                <w:szCs w:val="20"/>
                <w:u w:val="single"/>
              </w:rPr>
              <w:t>v</w:t>
            </w:r>
            <w:r w:rsidRPr="00DA7242">
              <w:rPr>
                <w:rFonts w:ascii="Arial" w:eastAsia="Times New Roman" w:hAnsi="Arial" w:cs="Arial"/>
                <w:b/>
                <w:sz w:val="20"/>
                <w:szCs w:val="20"/>
                <w:u w:val="single"/>
              </w:rPr>
              <w:t>alue</w:t>
            </w:r>
          </w:p>
          <w:p w14:paraId="152BA7DA" w14:textId="2880C81E"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w:t>
            </w:r>
            <w:r w:rsidR="0073726C" w:rsidRPr="00DA7242">
              <w:rPr>
                <w:rFonts w:ascii="Arial" w:eastAsia="Times New Roman" w:hAnsi="Arial" w:cs="Arial"/>
                <w:sz w:val="20"/>
                <w:szCs w:val="20"/>
              </w:rPr>
              <w:t xml:space="preserve">stress test </w:t>
            </w:r>
            <w:r w:rsidRPr="00DA7242">
              <w:rPr>
                <w:rFonts w:ascii="Arial" w:eastAsia="Times New Roman" w:hAnsi="Arial" w:cs="Arial"/>
                <w:sz w:val="20"/>
                <w:szCs w:val="20"/>
              </w:rPr>
              <w:t>Counterparty</w:t>
            </w:r>
            <w:r w:rsidR="00BD7615" w:rsidRPr="00DA7242">
              <w:rPr>
                <w:rFonts w:ascii="Arial" w:eastAsia="Times New Roman" w:hAnsi="Arial" w:cs="Arial"/>
                <w:sz w:val="20"/>
                <w:szCs w:val="20"/>
              </w:rPr>
              <w:t xml:space="preserve"> Credit Risk</w:t>
            </w:r>
            <w:r w:rsidRPr="00DA7242">
              <w:rPr>
                <w:rFonts w:ascii="Arial" w:eastAsia="Times New Roman" w:hAnsi="Arial" w:cs="Arial"/>
                <w:sz w:val="20"/>
                <w:szCs w:val="20"/>
              </w:rPr>
              <w:t xml:space="preserve"> </w:t>
            </w:r>
            <w:r w:rsidR="00BD7615" w:rsidRPr="00DA7242">
              <w:rPr>
                <w:rFonts w:ascii="Arial" w:eastAsia="Times New Roman" w:hAnsi="Arial" w:cs="Arial"/>
                <w:sz w:val="20"/>
                <w:szCs w:val="20"/>
              </w:rPr>
              <w:t>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 </w:t>
            </w:r>
          </w:p>
        </w:tc>
      </w:tr>
      <w:tr w:rsidR="005F106D" w:rsidRPr="00DA7242" w14:paraId="511B165D" w14:textId="77777777" w:rsidTr="0035689D">
        <w:tc>
          <w:tcPr>
            <w:tcW w:w="1188" w:type="dxa"/>
            <w:tcBorders>
              <w:top w:val="single" w:sz="4" w:space="0" w:color="auto"/>
              <w:left w:val="single" w:sz="4" w:space="0" w:color="auto"/>
              <w:bottom w:val="single" w:sz="4" w:space="0" w:color="auto"/>
              <w:right w:val="single" w:sz="4" w:space="0" w:color="auto"/>
            </w:tcBorders>
          </w:tcPr>
          <w:p w14:paraId="27C26D32"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68E3D67A" w14:textId="2E0B8F4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Trades </w:t>
            </w:r>
            <w:r w:rsidR="0049675C" w:rsidRPr="00DA7242">
              <w:rPr>
                <w:rFonts w:ascii="Arial" w:eastAsia="Times New Roman" w:hAnsi="Arial" w:cs="Arial"/>
                <w:b/>
                <w:sz w:val="20"/>
                <w:szCs w:val="20"/>
                <w:u w:val="single"/>
              </w:rPr>
              <w:t xml:space="preserve">centrally </w:t>
            </w:r>
            <w:r w:rsidRPr="00DA7242">
              <w:rPr>
                <w:rFonts w:ascii="Arial" w:eastAsia="Times New Roman" w:hAnsi="Arial" w:cs="Arial"/>
                <w:b/>
                <w:sz w:val="20"/>
                <w:szCs w:val="20"/>
                <w:u w:val="single"/>
              </w:rPr>
              <w:t>cleared through CCP</w:t>
            </w:r>
          </w:p>
          <w:p w14:paraId="07A7F2D2" w14:textId="59244164"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 xml:space="preserve">Refer to the </w:t>
            </w:r>
            <w:r w:rsidR="0073726C" w:rsidRPr="00DA7242">
              <w:rPr>
                <w:rFonts w:ascii="Arial" w:eastAsia="Times New Roman" w:hAnsi="Arial" w:cs="Arial"/>
                <w:sz w:val="20"/>
                <w:szCs w:val="20"/>
              </w:rPr>
              <w:t>stress test</w:t>
            </w:r>
            <w:r w:rsidRPr="00DA7242">
              <w:rPr>
                <w:rFonts w:ascii="Arial" w:eastAsia="Times New Roman" w:hAnsi="Arial" w:cs="Arial"/>
                <w:sz w:val="20"/>
                <w:szCs w:val="20"/>
              </w:rPr>
              <w:t xml:space="preserve">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for those trades cleared through a CCP as described in CRR Part 3, Title II, Chapter 6, Section 9: ‘Own funds requirements for exposures to a central counterparty’.</w:t>
            </w:r>
          </w:p>
        </w:tc>
      </w:tr>
      <w:tr w:rsidR="005F106D" w:rsidRPr="00DA7242" w14:paraId="29D522B6" w14:textId="77777777" w:rsidTr="0035689D">
        <w:tc>
          <w:tcPr>
            <w:tcW w:w="1188" w:type="dxa"/>
            <w:tcBorders>
              <w:top w:val="single" w:sz="4" w:space="0" w:color="auto"/>
              <w:left w:val="single" w:sz="4" w:space="0" w:color="auto"/>
              <w:bottom w:val="single" w:sz="4" w:space="0" w:color="auto"/>
              <w:right w:val="single" w:sz="4" w:space="0" w:color="auto"/>
            </w:tcBorders>
          </w:tcPr>
          <w:p w14:paraId="1735D0D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0699A6E5" w14:textId="6CBD8D78"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w:t>
            </w:r>
            <w:r w:rsidR="0073726C" w:rsidRPr="00DA7242">
              <w:rPr>
                <w:rFonts w:ascii="Arial" w:eastAsia="Times New Roman" w:hAnsi="Arial" w:cs="Arial"/>
                <w:b/>
                <w:sz w:val="20"/>
                <w:szCs w:val="20"/>
                <w:u w:val="single"/>
              </w:rPr>
              <w:t xml:space="preserve">Margined </w:t>
            </w:r>
            <w:r w:rsidRPr="00DA7242">
              <w:rPr>
                <w:rFonts w:ascii="Arial" w:eastAsia="Times New Roman" w:hAnsi="Arial" w:cs="Arial"/>
                <w:b/>
                <w:sz w:val="20"/>
                <w:szCs w:val="20"/>
                <w:u w:val="single"/>
              </w:rPr>
              <w:t>trades not-centrally cleared through CCP</w:t>
            </w:r>
          </w:p>
          <w:p w14:paraId="4FA44A0D" w14:textId="694CB79C"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 xml:space="preserve">Refer to the </w:t>
            </w:r>
            <w:r w:rsidR="0073726C" w:rsidRPr="00DA7242">
              <w:rPr>
                <w:rFonts w:ascii="Arial" w:eastAsia="Times New Roman" w:hAnsi="Arial" w:cs="Arial"/>
                <w:sz w:val="20"/>
                <w:szCs w:val="20"/>
              </w:rPr>
              <w:t xml:space="preserve">stress test </w:t>
            </w:r>
            <w:r w:rsidRPr="00DA7242">
              <w:rPr>
                <w:rFonts w:ascii="Arial" w:eastAsia="Times New Roman" w:hAnsi="Arial" w:cs="Arial"/>
                <w:sz w:val="20"/>
                <w:szCs w:val="20"/>
              </w:rPr>
              <w:t xml:space="preserve">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for</w:t>
            </w:r>
            <w:r w:rsidR="00454ACD">
              <w:rPr>
                <w:rFonts w:ascii="Arial" w:eastAsia="Times New Roman" w:hAnsi="Arial" w:cs="Arial"/>
                <w:sz w:val="20"/>
                <w:szCs w:val="20"/>
              </w:rPr>
              <w:t xml:space="preserve"> </w:t>
            </w:r>
            <w:r w:rsidR="0073726C" w:rsidRPr="00DA7242">
              <w:rPr>
                <w:rFonts w:ascii="Arial" w:eastAsia="Times New Roman" w:hAnsi="Arial" w:cs="Arial"/>
                <w:sz w:val="20"/>
                <w:szCs w:val="20"/>
              </w:rPr>
              <w:t>margined</w:t>
            </w:r>
            <w:r w:rsidRPr="00DA7242">
              <w:rPr>
                <w:rFonts w:ascii="Arial" w:eastAsia="Times New Roman" w:hAnsi="Arial" w:cs="Arial"/>
                <w:sz w:val="20"/>
                <w:szCs w:val="20"/>
              </w:rPr>
              <w:t xml:space="preserve"> trades </w:t>
            </w:r>
            <w:r w:rsidR="00454ACD" w:rsidRPr="002374DD">
              <w:rPr>
                <w:rFonts w:ascii="Arial" w:eastAsia="Times New Roman" w:hAnsi="Arial" w:cs="Arial"/>
                <w:sz w:val="20"/>
                <w:szCs w:val="20"/>
              </w:rPr>
              <w:t>(e.g. OTC</w:t>
            </w:r>
            <w:r w:rsidR="006F7519" w:rsidRPr="002374DD">
              <w:rPr>
                <w:rFonts w:ascii="Arial" w:eastAsia="Times New Roman" w:hAnsi="Arial" w:cs="Arial"/>
                <w:sz w:val="20"/>
                <w:szCs w:val="20"/>
              </w:rPr>
              <w:t xml:space="preserve"> transaction</w:t>
            </w:r>
            <w:r w:rsidR="00454ACD" w:rsidRPr="002374DD">
              <w:rPr>
                <w:rFonts w:ascii="Arial" w:eastAsia="Times New Roman" w:hAnsi="Arial" w:cs="Arial"/>
                <w:sz w:val="20"/>
                <w:szCs w:val="20"/>
              </w:rPr>
              <w:t>,  exchange</w:t>
            </w:r>
            <w:r w:rsidR="006F7519" w:rsidRPr="002374DD">
              <w:rPr>
                <w:rFonts w:ascii="Arial" w:eastAsia="Times New Roman" w:hAnsi="Arial" w:cs="Arial"/>
                <w:sz w:val="20"/>
                <w:szCs w:val="20"/>
              </w:rPr>
              <w:t xml:space="preserve"> traded derivatives</w:t>
            </w:r>
            <w:r w:rsidR="00454ACD" w:rsidRPr="002374DD">
              <w:rPr>
                <w:rFonts w:ascii="Arial" w:eastAsia="Times New Roman" w:hAnsi="Arial" w:cs="Arial"/>
                <w:sz w:val="20"/>
                <w:szCs w:val="20"/>
              </w:rPr>
              <w:t>, SFT,…)</w:t>
            </w:r>
            <w:r w:rsidR="00454ACD">
              <w:rPr>
                <w:rFonts w:ascii="Arial" w:eastAsia="Times New Roman" w:hAnsi="Arial" w:cs="Arial"/>
                <w:sz w:val="20"/>
                <w:szCs w:val="20"/>
              </w:rPr>
              <w:t xml:space="preserve"> </w:t>
            </w:r>
            <w:r w:rsidRPr="00DA7242">
              <w:rPr>
                <w:rFonts w:ascii="Arial" w:eastAsia="Times New Roman" w:hAnsi="Arial" w:cs="Arial"/>
                <w:sz w:val="20"/>
                <w:szCs w:val="20"/>
              </w:rPr>
              <w:t>that are not cleared through a CCP</w:t>
            </w:r>
          </w:p>
          <w:p w14:paraId="6CB9AAAA" w14:textId="77777777" w:rsidR="005F106D" w:rsidRPr="00DA7242" w:rsidRDefault="005F106D" w:rsidP="00994C51">
            <w:pPr>
              <w:spacing w:before="120" w:after="120" w:line="240" w:lineRule="auto"/>
              <w:rPr>
                <w:rFonts w:ascii="Arial" w:eastAsia="Times New Roman" w:hAnsi="Arial" w:cs="Arial"/>
                <w:b/>
                <w:sz w:val="20"/>
                <w:szCs w:val="20"/>
                <w:u w:val="single"/>
              </w:rPr>
            </w:pPr>
          </w:p>
        </w:tc>
      </w:tr>
      <w:tr w:rsidR="005F106D" w:rsidRPr="00DA7242" w14:paraId="692D1967" w14:textId="77777777" w:rsidTr="0035689D">
        <w:tc>
          <w:tcPr>
            <w:tcW w:w="1188" w:type="dxa"/>
            <w:tcBorders>
              <w:top w:val="single" w:sz="4" w:space="0" w:color="auto"/>
              <w:left w:val="single" w:sz="4" w:space="0" w:color="auto"/>
              <w:bottom w:val="single" w:sz="4" w:space="0" w:color="auto"/>
              <w:right w:val="single" w:sz="4" w:space="0" w:color="auto"/>
            </w:tcBorders>
          </w:tcPr>
          <w:p w14:paraId="70A169C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7B63999B" w14:textId="78B0B36C"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Of Which: Non</w:t>
            </w:r>
            <w:r w:rsidR="00E75D48" w:rsidRPr="00DA7242">
              <w:rPr>
                <w:rFonts w:ascii="Arial" w:eastAsia="Times New Roman" w:hAnsi="Arial" w:cs="Arial"/>
                <w:b/>
                <w:sz w:val="20"/>
                <w:szCs w:val="20"/>
                <w:u w:val="single"/>
              </w:rPr>
              <w:t xml:space="preserve"> collateralised/</w:t>
            </w:r>
            <w:r w:rsidR="0073726C" w:rsidRPr="00DA7242">
              <w:rPr>
                <w:rFonts w:ascii="Arial" w:eastAsia="Times New Roman" w:hAnsi="Arial" w:cs="Arial"/>
                <w:b/>
                <w:sz w:val="20"/>
                <w:szCs w:val="20"/>
                <w:u w:val="single"/>
              </w:rPr>
              <w:t>margined</w:t>
            </w:r>
            <w:r w:rsidRPr="00DA7242">
              <w:rPr>
                <w:rFonts w:ascii="Arial" w:eastAsia="Times New Roman" w:hAnsi="Arial" w:cs="Arial"/>
                <w:b/>
                <w:sz w:val="20"/>
                <w:szCs w:val="20"/>
                <w:u w:val="single"/>
              </w:rPr>
              <w:t xml:space="preserve"> trades</w:t>
            </w:r>
          </w:p>
          <w:p w14:paraId="3708D701" w14:textId="39F259BE"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Refer to the</w:t>
            </w:r>
            <w:r w:rsidR="0073726C" w:rsidRPr="00DA7242">
              <w:rPr>
                <w:rFonts w:ascii="Arial" w:eastAsia="Times New Roman" w:hAnsi="Arial" w:cs="Arial"/>
                <w:sz w:val="20"/>
                <w:szCs w:val="20"/>
              </w:rPr>
              <w:t xml:space="preserve"> stress test </w:t>
            </w:r>
            <w:r w:rsidRPr="00DA7242">
              <w:rPr>
                <w:rFonts w:ascii="Arial" w:eastAsia="Times New Roman" w:hAnsi="Arial" w:cs="Arial"/>
                <w:sz w:val="20"/>
                <w:szCs w:val="20"/>
              </w:rPr>
              <w:t xml:space="preserve">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 for trades that are neither cleared through a CCP nor are </w:t>
            </w:r>
            <w:r w:rsidR="00924C92" w:rsidRPr="00DA7242">
              <w:rPr>
                <w:rFonts w:ascii="Arial" w:eastAsia="Times New Roman" w:hAnsi="Arial" w:cs="Arial"/>
                <w:sz w:val="20"/>
                <w:szCs w:val="20"/>
              </w:rPr>
              <w:t>margined</w:t>
            </w:r>
          </w:p>
        </w:tc>
      </w:tr>
      <w:tr w:rsidR="005F106D" w:rsidRPr="00DA7242" w14:paraId="6585564C" w14:textId="77777777" w:rsidTr="0035689D">
        <w:tc>
          <w:tcPr>
            <w:tcW w:w="1188" w:type="dxa"/>
            <w:tcBorders>
              <w:top w:val="single" w:sz="4" w:space="0" w:color="auto"/>
              <w:left w:val="single" w:sz="4" w:space="0" w:color="auto"/>
              <w:bottom w:val="single" w:sz="4" w:space="0" w:color="auto"/>
              <w:right w:val="single" w:sz="4" w:space="0" w:color="auto"/>
            </w:tcBorders>
          </w:tcPr>
          <w:p w14:paraId="02346EA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30865F54" w14:textId="7777777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Internal Limit</w:t>
            </w:r>
          </w:p>
          <w:p w14:paraId="2E03DEC1" w14:textId="292D6C18"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 xml:space="preserve">Refer to the institution’s </w:t>
            </w:r>
            <w:r w:rsidR="00E22932" w:rsidRPr="00DA7242">
              <w:rPr>
                <w:rFonts w:ascii="Arial" w:eastAsia="Times New Roman" w:hAnsi="Arial" w:cs="Arial"/>
                <w:sz w:val="20"/>
                <w:szCs w:val="20"/>
              </w:rPr>
              <w:t xml:space="preserve">global stress test Counterparty </w:t>
            </w:r>
            <w:r w:rsidR="00BD7615" w:rsidRPr="00DA7242">
              <w:rPr>
                <w:rFonts w:ascii="Arial" w:eastAsia="Times New Roman" w:hAnsi="Arial" w:cs="Arial"/>
                <w:sz w:val="20"/>
                <w:szCs w:val="20"/>
              </w:rPr>
              <w:t>Credit Risk e</w:t>
            </w:r>
            <w:r w:rsidR="00E22932" w:rsidRPr="00DA7242">
              <w:rPr>
                <w:rFonts w:ascii="Arial" w:eastAsia="Times New Roman" w:hAnsi="Arial" w:cs="Arial"/>
                <w:sz w:val="20"/>
                <w:szCs w:val="20"/>
              </w:rPr>
              <w:t xml:space="preserve">xposure limit </w:t>
            </w:r>
            <w:r w:rsidRPr="00DA7242">
              <w:rPr>
                <w:rFonts w:ascii="Arial" w:eastAsia="Times New Roman" w:hAnsi="Arial" w:cs="Arial"/>
                <w:sz w:val="20"/>
                <w:szCs w:val="20"/>
              </w:rPr>
              <w:t xml:space="preserve">to </w:t>
            </w:r>
            <w:r w:rsidR="00E22932" w:rsidRPr="00DA7242">
              <w:rPr>
                <w:rFonts w:ascii="Arial" w:eastAsia="Times New Roman" w:hAnsi="Arial" w:cs="Arial"/>
                <w:sz w:val="20"/>
                <w:szCs w:val="20"/>
              </w:rPr>
              <w:t>, if any available</w:t>
            </w:r>
          </w:p>
        </w:tc>
      </w:tr>
    </w:tbl>
    <w:p w14:paraId="474C86B0"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0D9D7B4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5DD7E90C"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3F146CC4"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6CFE1D4D" w14:textId="77777777" w:rsidTr="0035689D">
        <w:tc>
          <w:tcPr>
            <w:tcW w:w="1188" w:type="dxa"/>
            <w:tcBorders>
              <w:top w:val="single" w:sz="4" w:space="0" w:color="auto"/>
              <w:left w:val="single" w:sz="4" w:space="0" w:color="auto"/>
              <w:bottom w:val="single" w:sz="4" w:space="0" w:color="auto"/>
              <w:right w:val="single" w:sz="4" w:space="0" w:color="auto"/>
            </w:tcBorders>
          </w:tcPr>
          <w:p w14:paraId="6D8E8DE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0410</w:t>
            </w:r>
          </w:p>
        </w:tc>
        <w:tc>
          <w:tcPr>
            <w:tcW w:w="8559" w:type="dxa"/>
            <w:tcBorders>
              <w:top w:val="single" w:sz="4" w:space="0" w:color="auto"/>
              <w:left w:val="single" w:sz="4" w:space="0" w:color="auto"/>
              <w:bottom w:val="single" w:sz="4" w:space="0" w:color="auto"/>
              <w:right w:val="single" w:sz="4" w:space="0" w:color="auto"/>
            </w:tcBorders>
          </w:tcPr>
          <w:p w14:paraId="10E7E670" w14:textId="4F7F3760"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Stress Scenario</w:t>
            </w:r>
          </w:p>
          <w:p w14:paraId="2B801DA5" w14:textId="5E7C38B0"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Include information related to the </w:t>
            </w:r>
            <w:r w:rsidRPr="00DA7242">
              <w:rPr>
                <w:rFonts w:ascii="Arial" w:hAnsi="Arial" w:cs="Arial"/>
                <w:sz w:val="20"/>
                <w:szCs w:val="20"/>
              </w:rPr>
              <w:t xml:space="preserve">institution’s internal market stress scenarios on the Counterparty Credit Risk </w:t>
            </w:r>
            <w:r w:rsidR="00BD7615" w:rsidRPr="00DA7242">
              <w:rPr>
                <w:rFonts w:ascii="Arial" w:hAnsi="Arial" w:cs="Arial"/>
                <w:sz w:val="20"/>
                <w:szCs w:val="20"/>
              </w:rPr>
              <w:t>e</w:t>
            </w:r>
            <w:r w:rsidRPr="00DA7242">
              <w:rPr>
                <w:rFonts w:ascii="Arial" w:hAnsi="Arial" w:cs="Arial"/>
                <w:sz w:val="20"/>
                <w:szCs w:val="20"/>
              </w:rPr>
              <w:t>xposure as computed in CRR Part 3, Title II Chapter 6 (Counterparty Credit Risk)</w:t>
            </w:r>
          </w:p>
        </w:tc>
      </w:tr>
    </w:tbl>
    <w:p w14:paraId="6BB7156C" w14:textId="77777777" w:rsidR="005F106D" w:rsidRPr="00DA7242" w:rsidRDefault="005F106D" w:rsidP="005F106D">
      <w:pPr>
        <w:rPr>
          <w:rFonts w:ascii="Arial" w:hAnsi="Arial" w:cs="Arial"/>
          <w:b/>
          <w:sz w:val="20"/>
          <w:szCs w:val="20"/>
        </w:rPr>
      </w:pPr>
    </w:p>
    <w:p w14:paraId="2D911CDF" w14:textId="3080FC73" w:rsidR="005F106D" w:rsidRPr="00DA7242" w:rsidRDefault="005F106D" w:rsidP="00103A7E">
      <w:pPr>
        <w:pBdr>
          <w:top w:val="single" w:sz="4" w:space="0" w:color="auto"/>
          <w:left w:val="single" w:sz="4" w:space="4" w:color="auto"/>
          <w:bottom w:val="single" w:sz="4" w:space="1" w:color="auto"/>
          <w:right w:val="single" w:sz="4" w:space="4" w:color="auto"/>
        </w:pBdr>
        <w:jc w:val="both"/>
        <w:rPr>
          <w:rFonts w:ascii="Arial" w:hAnsi="Arial" w:cs="Arial"/>
          <w:sz w:val="20"/>
          <w:szCs w:val="20"/>
        </w:rPr>
      </w:pPr>
      <w:r w:rsidRPr="00DA7242">
        <w:rPr>
          <w:rFonts w:ascii="Arial" w:hAnsi="Arial" w:cs="Arial"/>
          <w:b/>
          <w:sz w:val="20"/>
          <w:szCs w:val="20"/>
        </w:rPr>
        <w:t xml:space="preserve">Table 7: CCP </w:t>
      </w:r>
      <w:r w:rsidR="00E22932" w:rsidRPr="00DA7242">
        <w:rPr>
          <w:rFonts w:ascii="Arial" w:hAnsi="Arial" w:cs="Arial"/>
          <w:b/>
          <w:sz w:val="20"/>
          <w:szCs w:val="20"/>
        </w:rPr>
        <w:t xml:space="preserve">cleared </w:t>
      </w:r>
      <w:r w:rsidRPr="00DA7242">
        <w:rPr>
          <w:rFonts w:ascii="Arial" w:hAnsi="Arial" w:cs="Arial"/>
          <w:b/>
          <w:sz w:val="20"/>
          <w:szCs w:val="20"/>
        </w:rPr>
        <w:t xml:space="preserve">and </w:t>
      </w:r>
      <w:r w:rsidR="00924C92" w:rsidRPr="00DA7242">
        <w:rPr>
          <w:rFonts w:ascii="Arial" w:hAnsi="Arial" w:cs="Arial"/>
          <w:b/>
          <w:sz w:val="20"/>
          <w:szCs w:val="20"/>
        </w:rPr>
        <w:t>bilaterally</w:t>
      </w:r>
      <w:r w:rsidR="00E22932" w:rsidRPr="00DA7242">
        <w:rPr>
          <w:rFonts w:ascii="Arial" w:hAnsi="Arial" w:cs="Arial"/>
          <w:b/>
          <w:sz w:val="20"/>
          <w:szCs w:val="20"/>
        </w:rPr>
        <w:t xml:space="preserve"> margined</w:t>
      </w:r>
      <w:r w:rsidRPr="00DA7242">
        <w:rPr>
          <w:rFonts w:ascii="Arial" w:hAnsi="Arial" w:cs="Arial"/>
          <w:b/>
          <w:sz w:val="20"/>
          <w:szCs w:val="20"/>
        </w:rPr>
        <w:t xml:space="preserve"> SFTs, Derivatives &amp; Long Settlement Transactions</w:t>
      </w:r>
    </w:p>
    <w:p w14:paraId="330D7353" w14:textId="77777777" w:rsidR="005F106D" w:rsidRPr="00DA7242" w:rsidRDefault="005F106D" w:rsidP="005F106D">
      <w:pPr>
        <w:tabs>
          <w:tab w:val="left" w:pos="2065"/>
        </w:tabs>
        <w:rPr>
          <w:rFonts w:ascii="Arial" w:hAnsi="Arial" w:cs="Arial"/>
          <w:sz w:val="20"/>
          <w:szCs w:val="20"/>
        </w:rPr>
      </w:pPr>
      <w:r w:rsidRPr="00DA7242">
        <w:rPr>
          <w:rFonts w:ascii="Arial" w:hAnsi="Arial" w:cs="Arial"/>
          <w:sz w:val="20"/>
          <w:szCs w:val="20"/>
        </w:rPr>
        <w:t>This data collection is to provide information in relation to derivative and securities financing transactions (SFTs) subject to margining.</w:t>
      </w:r>
    </w:p>
    <w:p w14:paraId="69F174ED" w14:textId="5A471A29" w:rsidR="00E22932" w:rsidRPr="00DA7242" w:rsidRDefault="00E22932" w:rsidP="005F106D">
      <w:pPr>
        <w:tabs>
          <w:tab w:val="left" w:pos="2065"/>
        </w:tabs>
        <w:rPr>
          <w:rFonts w:ascii="Arial" w:hAnsi="Arial" w:cs="Arial"/>
          <w:sz w:val="20"/>
          <w:szCs w:val="20"/>
        </w:rPr>
      </w:pPr>
      <w:r w:rsidRPr="00DA7242">
        <w:rPr>
          <w:rFonts w:ascii="Arial" w:hAnsi="Arial" w:cs="Arial"/>
          <w:sz w:val="20"/>
          <w:szCs w:val="20"/>
        </w:rPr>
        <w:t xml:space="preserve">For CCP it refers to cleared </w:t>
      </w:r>
      <w:r w:rsidR="00E75D48" w:rsidRPr="00DA7242">
        <w:rPr>
          <w:rFonts w:ascii="Arial" w:hAnsi="Arial" w:cs="Arial"/>
          <w:sz w:val="20"/>
          <w:szCs w:val="20"/>
        </w:rPr>
        <w:t xml:space="preserve">ETD – </w:t>
      </w:r>
      <w:r w:rsidRPr="00DA7242">
        <w:rPr>
          <w:rFonts w:ascii="Arial" w:hAnsi="Arial" w:cs="Arial"/>
          <w:sz w:val="20"/>
          <w:szCs w:val="20"/>
        </w:rPr>
        <w:t xml:space="preserve">Exchange Traded </w:t>
      </w:r>
      <w:r w:rsidR="009112F0" w:rsidRPr="00DA7242">
        <w:rPr>
          <w:rFonts w:ascii="Arial" w:hAnsi="Arial" w:cs="Arial"/>
          <w:sz w:val="20"/>
          <w:szCs w:val="20"/>
        </w:rPr>
        <w:t>Derivatives,</w:t>
      </w:r>
      <w:r w:rsidRPr="00DA7242">
        <w:rPr>
          <w:rFonts w:ascii="Arial" w:hAnsi="Arial" w:cs="Arial"/>
          <w:sz w:val="20"/>
          <w:szCs w:val="20"/>
        </w:rPr>
        <w:t xml:space="preserve"> cleared OTC – Cleared Over-the-Counter derivatives, cleared Securities Financing transaction</w:t>
      </w:r>
      <w:r w:rsidR="009112F0" w:rsidRPr="00DA7242">
        <w:rPr>
          <w:rFonts w:ascii="Arial" w:hAnsi="Arial" w:cs="Arial"/>
          <w:sz w:val="20"/>
          <w:szCs w:val="20"/>
        </w:rPr>
        <w:t xml:space="preserve"> and Long Settlement Transactions</w:t>
      </w:r>
      <w:r w:rsidRPr="00DA7242">
        <w:rPr>
          <w:rFonts w:ascii="Arial" w:hAnsi="Arial" w:cs="Arial"/>
          <w:sz w:val="20"/>
          <w:szCs w:val="20"/>
        </w:rPr>
        <w:t>.</w:t>
      </w:r>
    </w:p>
    <w:p w14:paraId="149F76B6" w14:textId="33E10C83" w:rsidR="00E22932" w:rsidRDefault="00E22932" w:rsidP="005F106D">
      <w:pPr>
        <w:tabs>
          <w:tab w:val="left" w:pos="2065"/>
        </w:tabs>
        <w:rPr>
          <w:rFonts w:ascii="Arial" w:hAnsi="Arial" w:cs="Arial"/>
          <w:sz w:val="20"/>
          <w:szCs w:val="20"/>
        </w:rPr>
      </w:pPr>
      <w:r w:rsidRPr="00DA7242">
        <w:rPr>
          <w:rFonts w:ascii="Arial" w:hAnsi="Arial" w:cs="Arial"/>
          <w:sz w:val="20"/>
          <w:szCs w:val="20"/>
        </w:rPr>
        <w:t xml:space="preserve">For </w:t>
      </w:r>
      <w:r w:rsidR="009112F0" w:rsidRPr="00DA7242">
        <w:rPr>
          <w:rFonts w:ascii="Arial" w:hAnsi="Arial" w:cs="Arial"/>
          <w:sz w:val="20"/>
          <w:szCs w:val="20"/>
        </w:rPr>
        <w:t xml:space="preserve">bilaterally margined it refers to transactions not cleared through CCP </w:t>
      </w:r>
      <w:r w:rsidR="00087ADD" w:rsidRPr="00DA7242">
        <w:rPr>
          <w:rFonts w:ascii="Arial" w:hAnsi="Arial" w:cs="Arial"/>
          <w:sz w:val="20"/>
          <w:szCs w:val="20"/>
        </w:rPr>
        <w:t>but</w:t>
      </w:r>
      <w:r w:rsidR="009112F0" w:rsidRPr="00DA7242">
        <w:rPr>
          <w:rFonts w:ascii="Arial" w:hAnsi="Arial" w:cs="Arial"/>
          <w:sz w:val="20"/>
          <w:szCs w:val="20"/>
        </w:rPr>
        <w:t xml:space="preserve"> subject to bilateral margining agreement</w:t>
      </w:r>
      <w:r w:rsidRPr="00DA7242">
        <w:rPr>
          <w:rFonts w:ascii="Arial" w:hAnsi="Arial" w:cs="Arial"/>
          <w:sz w:val="20"/>
          <w:szCs w:val="20"/>
        </w:rPr>
        <w:t>.</w:t>
      </w:r>
    </w:p>
    <w:p w14:paraId="4A0FE03B" w14:textId="558080FF" w:rsidR="00A35449" w:rsidRPr="00DA7242" w:rsidRDefault="00A35449" w:rsidP="002374DD">
      <w:pPr>
        <w:tabs>
          <w:tab w:val="left" w:pos="2065"/>
        </w:tabs>
        <w:jc w:val="both"/>
        <w:rPr>
          <w:rFonts w:ascii="Arial" w:hAnsi="Arial" w:cs="Arial"/>
          <w:sz w:val="20"/>
          <w:szCs w:val="20"/>
        </w:rPr>
      </w:pPr>
      <w:r w:rsidRPr="00E749C6">
        <w:rPr>
          <w:rFonts w:ascii="Arial" w:hAnsi="Arial" w:cs="Arial"/>
          <w:sz w:val="20"/>
          <w:szCs w:val="20"/>
          <w:highlight w:val="yellow"/>
        </w:rPr>
        <w:t>In column 0080 Institutions should report the output from their own liquidity stress test process in relation to all margined transactions and describe related scenario assumptions. Where no liquidity stress process exi</w:t>
      </w:r>
      <w:r w:rsidR="00066EE0">
        <w:rPr>
          <w:rFonts w:ascii="Arial" w:hAnsi="Arial" w:cs="Arial"/>
          <w:sz w:val="20"/>
          <w:szCs w:val="20"/>
          <w:highlight w:val="yellow"/>
        </w:rPr>
        <w:t>s</w:t>
      </w:r>
      <w:r w:rsidRPr="00E749C6">
        <w:rPr>
          <w:rFonts w:ascii="Arial" w:hAnsi="Arial" w:cs="Arial"/>
          <w:sz w:val="20"/>
          <w:szCs w:val="20"/>
          <w:highlight w:val="yellow"/>
        </w:rPr>
        <w:t>ts internally, or when no meaningful aggregated result can be computed based</w:t>
      </w:r>
      <w:r w:rsidR="00A111D2">
        <w:rPr>
          <w:rFonts w:ascii="Arial" w:hAnsi="Arial" w:cs="Arial"/>
          <w:sz w:val="20"/>
          <w:szCs w:val="20"/>
          <w:highlight w:val="yellow"/>
        </w:rPr>
        <w:t xml:space="preserve"> on</w:t>
      </w:r>
      <w:r w:rsidRPr="00E749C6">
        <w:rPr>
          <w:rFonts w:ascii="Arial" w:hAnsi="Arial" w:cs="Arial"/>
          <w:sz w:val="20"/>
          <w:szCs w:val="20"/>
          <w:highlight w:val="yellow"/>
        </w:rPr>
        <w:t xml:space="preserve"> a set of individual stress test scenarios (e.g. portfolio, CCP, non CCP cleared</w:t>
      </w:r>
      <w:proofErr w:type="gramStart"/>
      <w:r w:rsidRPr="00E749C6">
        <w:rPr>
          <w:rFonts w:ascii="Arial" w:hAnsi="Arial" w:cs="Arial"/>
          <w:sz w:val="20"/>
          <w:szCs w:val="20"/>
          <w:highlight w:val="yellow"/>
        </w:rPr>
        <w:t>,…</w:t>
      </w:r>
      <w:proofErr w:type="gramEnd"/>
      <w:r w:rsidRPr="00E749C6">
        <w:rPr>
          <w:rFonts w:ascii="Arial" w:hAnsi="Arial" w:cs="Arial"/>
          <w:sz w:val="20"/>
          <w:szCs w:val="20"/>
          <w:highlight w:val="yellow"/>
        </w:rPr>
        <w:t xml:space="preserve">), Institutions shall leave the relevant section in the table 6.7. </w:t>
      </w:r>
      <w:proofErr w:type="gramStart"/>
      <w:r w:rsidRPr="00E749C6">
        <w:rPr>
          <w:rFonts w:ascii="Arial" w:hAnsi="Arial" w:cs="Arial"/>
          <w:sz w:val="20"/>
          <w:szCs w:val="20"/>
          <w:highlight w:val="yellow"/>
        </w:rPr>
        <w:t>blank</w:t>
      </w:r>
      <w:proofErr w:type="gramEnd"/>
      <w:r w:rsidRPr="00E749C6">
        <w:rPr>
          <w:rFonts w:ascii="Arial" w:hAnsi="Arial" w:cs="Arial"/>
          <w:sz w:val="20"/>
          <w:szCs w:val="20"/>
          <w:highlight w:val="yellow"/>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7E1F168C"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260E089A"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036CC06F"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33E2FFC1" w14:textId="77777777" w:rsidTr="0035689D">
        <w:tc>
          <w:tcPr>
            <w:tcW w:w="1188" w:type="dxa"/>
            <w:tcBorders>
              <w:top w:val="single" w:sz="4" w:space="0" w:color="auto"/>
              <w:left w:val="single" w:sz="4" w:space="0" w:color="auto"/>
              <w:bottom w:val="single" w:sz="4" w:space="0" w:color="auto"/>
              <w:right w:val="single" w:sz="4" w:space="0" w:color="auto"/>
            </w:tcBorders>
          </w:tcPr>
          <w:p w14:paraId="09B0E9D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630826B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Initial Margin</w:t>
            </w:r>
          </w:p>
          <w:p w14:paraId="5E2C234C" w14:textId="20F49FA5" w:rsidR="005F106D"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balance of </w:t>
            </w:r>
            <w:r w:rsidR="00060EFB" w:rsidRPr="002374DD">
              <w:rPr>
                <w:rFonts w:ascii="Arial" w:eastAsia="Times New Roman" w:hAnsi="Arial" w:cs="Arial"/>
                <w:sz w:val="20"/>
                <w:szCs w:val="20"/>
                <w:highlight w:val="yellow"/>
              </w:rPr>
              <w:t>posted</w:t>
            </w:r>
            <w:r w:rsidR="00060EFB">
              <w:rPr>
                <w:rFonts w:ascii="Arial" w:eastAsia="Times New Roman" w:hAnsi="Arial" w:cs="Arial"/>
                <w:sz w:val="20"/>
                <w:szCs w:val="20"/>
              </w:rPr>
              <w:t xml:space="preserve"> </w:t>
            </w:r>
            <w:r w:rsidRPr="00DA7242">
              <w:rPr>
                <w:rFonts w:ascii="Arial" w:eastAsia="Times New Roman" w:hAnsi="Arial" w:cs="Arial"/>
                <w:sz w:val="20"/>
                <w:szCs w:val="20"/>
              </w:rPr>
              <w:t>initial margin account at the reporting date</w:t>
            </w:r>
          </w:p>
          <w:p w14:paraId="4AC2F2A2" w14:textId="583071A2" w:rsidR="00FA65DC" w:rsidRPr="00DA7242" w:rsidRDefault="00FA65DC" w:rsidP="00060EFB">
            <w:pPr>
              <w:spacing w:before="120" w:after="120" w:line="240" w:lineRule="auto"/>
              <w:jc w:val="both"/>
              <w:rPr>
                <w:rFonts w:ascii="Arial" w:eastAsia="Times New Roman" w:hAnsi="Arial" w:cs="Arial"/>
                <w:sz w:val="20"/>
                <w:szCs w:val="20"/>
              </w:rPr>
            </w:pPr>
            <w:r w:rsidRPr="00D10E76">
              <w:rPr>
                <w:rFonts w:ascii="Arial" w:eastAsia="Times New Roman" w:hAnsi="Arial" w:cs="Arial"/>
                <w:sz w:val="20"/>
                <w:szCs w:val="20"/>
                <w:highlight w:val="yellow"/>
              </w:rPr>
              <w:t xml:space="preserve">Sign convention: </w:t>
            </w:r>
            <w:r w:rsidR="00060EFB">
              <w:rPr>
                <w:rFonts w:ascii="Arial" w:eastAsia="Times New Roman" w:hAnsi="Arial" w:cs="Arial"/>
                <w:sz w:val="20"/>
                <w:szCs w:val="20"/>
                <w:highlight w:val="yellow"/>
              </w:rPr>
              <w:t>This amount is expected to be positive</w:t>
            </w:r>
            <w:r w:rsidRPr="00D10E76">
              <w:rPr>
                <w:rFonts w:ascii="Arial" w:eastAsia="Times New Roman" w:hAnsi="Arial" w:cs="Arial"/>
                <w:sz w:val="20"/>
                <w:szCs w:val="20"/>
                <w:highlight w:val="yellow"/>
              </w:rPr>
              <w:t>.</w:t>
            </w:r>
          </w:p>
        </w:tc>
      </w:tr>
      <w:tr w:rsidR="005F106D" w:rsidRPr="00DA7242" w14:paraId="54E26C54" w14:textId="77777777" w:rsidTr="0035689D">
        <w:tc>
          <w:tcPr>
            <w:tcW w:w="1188" w:type="dxa"/>
            <w:tcBorders>
              <w:top w:val="single" w:sz="4" w:space="0" w:color="auto"/>
              <w:left w:val="single" w:sz="4" w:space="0" w:color="auto"/>
              <w:bottom w:val="single" w:sz="4" w:space="0" w:color="auto"/>
              <w:right w:val="single" w:sz="4" w:space="0" w:color="auto"/>
            </w:tcBorders>
          </w:tcPr>
          <w:p w14:paraId="267A4CD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3CE33AC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Variation margin</w:t>
            </w:r>
          </w:p>
          <w:p w14:paraId="4077E1CF" w14:textId="77777777" w:rsidR="005F106D"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balance of variation margin account at the reporting date</w:t>
            </w:r>
          </w:p>
          <w:p w14:paraId="7453FB73" w14:textId="25CF2B1B" w:rsidR="00FA65DC" w:rsidRPr="00DA7242" w:rsidRDefault="00FA65DC" w:rsidP="00060EFB">
            <w:pPr>
              <w:spacing w:before="120" w:after="120" w:line="240" w:lineRule="auto"/>
              <w:jc w:val="both"/>
              <w:rPr>
                <w:rFonts w:ascii="Arial" w:eastAsia="Times New Roman" w:hAnsi="Arial" w:cs="Arial"/>
                <w:b/>
                <w:sz w:val="20"/>
                <w:szCs w:val="20"/>
                <w:u w:val="single"/>
              </w:rPr>
            </w:pPr>
            <w:r w:rsidRPr="00D10E76">
              <w:rPr>
                <w:rFonts w:ascii="Arial" w:eastAsia="Times New Roman" w:hAnsi="Arial" w:cs="Arial"/>
                <w:sz w:val="20"/>
                <w:szCs w:val="20"/>
                <w:highlight w:val="yellow"/>
              </w:rPr>
              <w:t xml:space="preserve">Sign convention: </w:t>
            </w:r>
            <w:r w:rsidR="00060EFB">
              <w:rPr>
                <w:rFonts w:ascii="Arial" w:eastAsia="Times New Roman" w:hAnsi="Arial" w:cs="Arial"/>
                <w:sz w:val="20"/>
                <w:szCs w:val="20"/>
                <w:highlight w:val="yellow"/>
              </w:rPr>
              <w:t>P</w:t>
            </w:r>
            <w:r w:rsidRPr="00D10E76">
              <w:rPr>
                <w:rFonts w:ascii="Arial" w:eastAsia="Times New Roman" w:hAnsi="Arial" w:cs="Arial"/>
                <w:sz w:val="20"/>
                <w:szCs w:val="20"/>
                <w:highlight w:val="yellow"/>
              </w:rPr>
              <w:t>ositive for net cash paid out, negative for net cash received.</w:t>
            </w:r>
          </w:p>
        </w:tc>
      </w:tr>
      <w:tr w:rsidR="005F106D" w:rsidRPr="00DA7242" w14:paraId="65B41775" w14:textId="77777777" w:rsidTr="0035689D">
        <w:tc>
          <w:tcPr>
            <w:tcW w:w="1188" w:type="dxa"/>
            <w:tcBorders>
              <w:top w:val="single" w:sz="4" w:space="0" w:color="auto"/>
              <w:left w:val="single" w:sz="4" w:space="0" w:color="auto"/>
              <w:bottom w:val="single" w:sz="4" w:space="0" w:color="auto"/>
              <w:right w:val="single" w:sz="4" w:space="0" w:color="auto"/>
            </w:tcBorders>
          </w:tcPr>
          <w:p w14:paraId="0D62AE9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1DD12CD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Default fund</w:t>
            </w:r>
          </w:p>
          <w:p w14:paraId="58B155D8" w14:textId="77777777" w:rsidR="005F106D"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balance of default fund at the reporting date</w:t>
            </w:r>
          </w:p>
          <w:p w14:paraId="7CB2780A" w14:textId="107B7678" w:rsidR="00FA65DC" w:rsidRPr="00DA7242" w:rsidRDefault="00FA65DC" w:rsidP="00994C51">
            <w:pPr>
              <w:spacing w:before="120" w:after="120" w:line="240" w:lineRule="auto"/>
              <w:jc w:val="both"/>
              <w:rPr>
                <w:rFonts w:ascii="Arial" w:eastAsia="Times New Roman" w:hAnsi="Arial" w:cs="Arial"/>
                <w:sz w:val="20"/>
                <w:szCs w:val="20"/>
              </w:rPr>
            </w:pPr>
            <w:r w:rsidRPr="00D10E76">
              <w:rPr>
                <w:rFonts w:ascii="Arial" w:eastAsia="Times New Roman" w:hAnsi="Arial" w:cs="Arial"/>
                <w:sz w:val="20"/>
                <w:szCs w:val="20"/>
                <w:highlight w:val="yellow"/>
              </w:rPr>
              <w:t xml:space="preserve">Sign convention: </w:t>
            </w:r>
            <w:r w:rsidR="00060EFB">
              <w:rPr>
                <w:rFonts w:ascii="Arial" w:eastAsia="Times New Roman" w:hAnsi="Arial" w:cs="Arial"/>
                <w:sz w:val="20"/>
                <w:szCs w:val="20"/>
                <w:highlight w:val="yellow"/>
              </w:rPr>
              <w:t>This amount is expected to be positive</w:t>
            </w:r>
            <w:r>
              <w:rPr>
                <w:rFonts w:ascii="Arial" w:eastAsia="Times New Roman" w:hAnsi="Arial" w:cs="Arial"/>
                <w:sz w:val="20"/>
                <w:szCs w:val="20"/>
              </w:rPr>
              <w:t>.</w:t>
            </w:r>
          </w:p>
        </w:tc>
      </w:tr>
      <w:tr w:rsidR="005F106D" w:rsidRPr="00DA7242" w14:paraId="79274A0B" w14:textId="77777777" w:rsidTr="0035689D">
        <w:tc>
          <w:tcPr>
            <w:tcW w:w="1188" w:type="dxa"/>
            <w:tcBorders>
              <w:top w:val="single" w:sz="4" w:space="0" w:color="auto"/>
              <w:left w:val="single" w:sz="4" w:space="0" w:color="auto"/>
              <w:bottom w:val="single" w:sz="4" w:space="0" w:color="auto"/>
              <w:right w:val="single" w:sz="4" w:space="0" w:color="auto"/>
            </w:tcBorders>
          </w:tcPr>
          <w:p w14:paraId="48F4DF3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7523F02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Cumulated outflows during the reporting month</w:t>
            </w:r>
          </w:p>
          <w:p w14:paraId="1962D682" w14:textId="1ABD1BAF" w:rsidR="005F106D"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cumulative margin call </w:t>
            </w:r>
            <w:r w:rsidR="00A35449" w:rsidRPr="00C94D95">
              <w:rPr>
                <w:rFonts w:ascii="Arial" w:eastAsia="Times New Roman" w:hAnsi="Arial" w:cs="Arial"/>
                <w:strike/>
                <w:sz w:val="20"/>
                <w:szCs w:val="20"/>
                <w:highlight w:val="yellow"/>
              </w:rPr>
              <w:t>paid</w:t>
            </w:r>
            <w:r w:rsidR="00A35449" w:rsidRPr="00C94D95">
              <w:rPr>
                <w:rFonts w:ascii="Arial" w:eastAsia="Times New Roman" w:hAnsi="Arial" w:cs="Arial"/>
                <w:strike/>
                <w:sz w:val="20"/>
                <w:szCs w:val="20"/>
              </w:rPr>
              <w:t xml:space="preserve"> </w:t>
            </w:r>
            <w:r w:rsidR="00A35449" w:rsidRPr="00C94D95">
              <w:rPr>
                <w:rFonts w:ascii="Arial" w:eastAsia="Times New Roman" w:hAnsi="Arial" w:cs="Arial"/>
                <w:sz w:val="20"/>
                <w:szCs w:val="20"/>
                <w:highlight w:val="yellow"/>
              </w:rPr>
              <w:t>posted net of margin call received</w:t>
            </w:r>
            <w:r w:rsidRPr="00DA7242">
              <w:rPr>
                <w:rFonts w:ascii="Arial" w:eastAsia="Times New Roman" w:hAnsi="Arial" w:cs="Arial"/>
                <w:sz w:val="20"/>
                <w:szCs w:val="20"/>
              </w:rPr>
              <w:t xml:space="preserve"> over the reporting month</w:t>
            </w:r>
            <w:r w:rsidR="00060EFB">
              <w:rPr>
                <w:rFonts w:ascii="Arial" w:eastAsia="Times New Roman" w:hAnsi="Arial" w:cs="Arial"/>
                <w:sz w:val="20"/>
                <w:szCs w:val="20"/>
              </w:rPr>
              <w:t xml:space="preserve">. </w:t>
            </w:r>
            <w:r w:rsidR="00060EFB" w:rsidRPr="002374DD">
              <w:rPr>
                <w:rFonts w:ascii="Arial" w:eastAsia="Times New Roman" w:hAnsi="Arial" w:cs="Arial"/>
                <w:sz w:val="20"/>
                <w:szCs w:val="20"/>
                <w:highlight w:val="yellow"/>
              </w:rPr>
              <w:t xml:space="preserve">The </w:t>
            </w:r>
            <w:r w:rsidR="00D347B6">
              <w:rPr>
                <w:rFonts w:ascii="Arial" w:eastAsia="Times New Roman" w:hAnsi="Arial" w:cs="Arial"/>
                <w:sz w:val="20"/>
                <w:szCs w:val="20"/>
                <w:highlight w:val="yellow"/>
              </w:rPr>
              <w:t>post</w:t>
            </w:r>
            <w:r w:rsidR="00060EFB" w:rsidRPr="002374DD">
              <w:rPr>
                <w:rFonts w:ascii="Arial" w:eastAsia="Times New Roman" w:hAnsi="Arial" w:cs="Arial"/>
                <w:sz w:val="20"/>
                <w:szCs w:val="20"/>
                <w:highlight w:val="yellow"/>
              </w:rPr>
              <w:t xml:space="preserve">ed initial margin should be </w:t>
            </w:r>
            <w:r w:rsidR="00D347B6">
              <w:rPr>
                <w:rFonts w:ascii="Arial" w:eastAsia="Times New Roman" w:hAnsi="Arial" w:cs="Arial"/>
                <w:sz w:val="20"/>
                <w:szCs w:val="20"/>
                <w:highlight w:val="yellow"/>
              </w:rPr>
              <w:t>considered but not the received initial margin</w:t>
            </w:r>
            <w:r w:rsidR="00060EFB" w:rsidRPr="002374DD">
              <w:rPr>
                <w:rFonts w:ascii="Arial" w:eastAsia="Times New Roman" w:hAnsi="Arial" w:cs="Arial"/>
                <w:sz w:val="20"/>
                <w:szCs w:val="20"/>
                <w:highlight w:val="yellow"/>
              </w:rPr>
              <w:t>.</w:t>
            </w:r>
          </w:p>
          <w:p w14:paraId="7EC2258B" w14:textId="2963E957" w:rsidR="00FA65DC" w:rsidRPr="00DA7242" w:rsidRDefault="00FA65DC" w:rsidP="00060EFB">
            <w:pPr>
              <w:spacing w:before="120" w:after="120" w:line="240" w:lineRule="auto"/>
              <w:jc w:val="both"/>
              <w:rPr>
                <w:rFonts w:ascii="Arial" w:eastAsia="Times New Roman" w:hAnsi="Arial" w:cs="Arial"/>
                <w:b/>
                <w:sz w:val="20"/>
                <w:szCs w:val="20"/>
                <w:u w:val="single"/>
              </w:rPr>
            </w:pPr>
            <w:r w:rsidRPr="002374DD">
              <w:rPr>
                <w:rFonts w:ascii="Arial" w:eastAsia="Times New Roman" w:hAnsi="Arial" w:cs="Arial"/>
                <w:sz w:val="20"/>
                <w:szCs w:val="20"/>
                <w:highlight w:val="yellow"/>
              </w:rPr>
              <w:t xml:space="preserve">Sign convention: </w:t>
            </w:r>
            <w:r w:rsidR="00060EFB">
              <w:rPr>
                <w:rFonts w:ascii="Arial" w:eastAsia="Times New Roman" w:hAnsi="Arial" w:cs="Arial"/>
                <w:sz w:val="20"/>
                <w:szCs w:val="20"/>
                <w:highlight w:val="yellow"/>
              </w:rPr>
              <w:t>P</w:t>
            </w:r>
            <w:r w:rsidRPr="002374DD">
              <w:rPr>
                <w:rFonts w:ascii="Arial" w:eastAsia="Times New Roman" w:hAnsi="Arial" w:cs="Arial"/>
                <w:sz w:val="20"/>
                <w:szCs w:val="20"/>
                <w:highlight w:val="yellow"/>
              </w:rPr>
              <w:t>ositive for net cash paid out, negative for net cash received.</w:t>
            </w:r>
          </w:p>
        </w:tc>
      </w:tr>
      <w:tr w:rsidR="005F106D" w:rsidRPr="00DA7242" w14:paraId="2055A047" w14:textId="77777777" w:rsidTr="0035689D">
        <w:tc>
          <w:tcPr>
            <w:tcW w:w="1188" w:type="dxa"/>
            <w:tcBorders>
              <w:top w:val="single" w:sz="4" w:space="0" w:color="auto"/>
              <w:left w:val="single" w:sz="4" w:space="0" w:color="auto"/>
              <w:bottom w:val="single" w:sz="4" w:space="0" w:color="auto"/>
              <w:right w:val="single" w:sz="4" w:space="0" w:color="auto"/>
            </w:tcBorders>
          </w:tcPr>
          <w:p w14:paraId="73506E4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6FA34B0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Cumulated outflows net of cumulated inflows during the reporting month</w:t>
            </w:r>
          </w:p>
          <w:p w14:paraId="147594F0" w14:textId="77777777" w:rsidR="005F106D"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cumulative </w:t>
            </w:r>
            <w:r w:rsidR="00E5695C">
              <w:rPr>
                <w:rFonts w:ascii="Arial" w:eastAsia="Times New Roman" w:hAnsi="Arial" w:cs="Arial"/>
                <w:sz w:val="20"/>
                <w:szCs w:val="20"/>
              </w:rPr>
              <w:t xml:space="preserve">variation </w:t>
            </w:r>
            <w:r w:rsidRPr="00DA7242">
              <w:rPr>
                <w:rFonts w:ascii="Arial" w:eastAsia="Times New Roman" w:hAnsi="Arial" w:cs="Arial"/>
                <w:sz w:val="20"/>
                <w:szCs w:val="20"/>
              </w:rPr>
              <w:t>margin call paid out net of paid in over the reporting month</w:t>
            </w:r>
            <w:r w:rsidR="00E5695C">
              <w:rPr>
                <w:rFonts w:ascii="Arial" w:eastAsia="Times New Roman" w:hAnsi="Arial" w:cs="Arial"/>
                <w:sz w:val="20"/>
                <w:szCs w:val="20"/>
              </w:rPr>
              <w:t>.</w:t>
            </w:r>
          </w:p>
          <w:p w14:paraId="6681E5B1" w14:textId="6D7E1CF4" w:rsidR="00E5695C" w:rsidRPr="00DA7242" w:rsidRDefault="00552B49" w:rsidP="00552B49">
            <w:pPr>
              <w:spacing w:before="120" w:after="120" w:line="240" w:lineRule="auto"/>
              <w:jc w:val="both"/>
              <w:rPr>
                <w:rFonts w:ascii="Arial" w:eastAsia="Times New Roman" w:hAnsi="Arial" w:cs="Arial"/>
                <w:b/>
                <w:sz w:val="20"/>
                <w:szCs w:val="20"/>
                <w:u w:val="single"/>
              </w:rPr>
            </w:pPr>
            <w:r>
              <w:rPr>
                <w:rFonts w:ascii="Arial" w:eastAsia="Times New Roman" w:hAnsi="Arial" w:cs="Arial"/>
                <w:sz w:val="20"/>
                <w:szCs w:val="20"/>
              </w:rPr>
              <w:t>Sign convention: positive for net cash paid out, negative for net cash received.</w:t>
            </w:r>
            <w:r w:rsidRPr="006A50C1">
              <w:rPr>
                <w:rFonts w:ascii="Arial" w:eastAsia="Times New Roman" w:hAnsi="Arial" w:cs="Arial"/>
                <w:sz w:val="20"/>
                <w:szCs w:val="20"/>
              </w:rPr>
              <w:t xml:space="preserve"> </w:t>
            </w:r>
          </w:p>
        </w:tc>
      </w:tr>
      <w:tr w:rsidR="005F106D" w:rsidRPr="00DA7242" w14:paraId="44FF39A0" w14:textId="77777777" w:rsidTr="0035689D">
        <w:tc>
          <w:tcPr>
            <w:tcW w:w="1188" w:type="dxa"/>
            <w:tcBorders>
              <w:top w:val="single" w:sz="4" w:space="0" w:color="auto"/>
              <w:left w:val="single" w:sz="4" w:space="0" w:color="auto"/>
              <w:bottom w:val="single" w:sz="4" w:space="0" w:color="auto"/>
              <w:right w:val="single" w:sz="4" w:space="0" w:color="auto"/>
            </w:tcBorders>
          </w:tcPr>
          <w:p w14:paraId="0FF289A1" w14:textId="7DDF7D45"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6696A40D"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Weekly Average amount over the reporting month</w:t>
            </w:r>
          </w:p>
          <w:p w14:paraId="2C661FFF" w14:textId="77777777" w:rsidR="005F106D"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weekly average cumulative </w:t>
            </w:r>
            <w:r w:rsidR="00E5695C">
              <w:rPr>
                <w:rFonts w:ascii="Arial" w:eastAsia="Times New Roman" w:hAnsi="Arial" w:cs="Arial"/>
                <w:sz w:val="20"/>
                <w:szCs w:val="20"/>
              </w:rPr>
              <w:t xml:space="preserve">variation </w:t>
            </w:r>
            <w:r w:rsidRPr="00DA7242">
              <w:rPr>
                <w:rFonts w:ascii="Arial" w:eastAsia="Times New Roman" w:hAnsi="Arial" w:cs="Arial"/>
                <w:sz w:val="20"/>
                <w:szCs w:val="20"/>
              </w:rPr>
              <w:t>margin call paid out net of paid in over the reporting month</w:t>
            </w:r>
            <w:r w:rsidR="00E5695C">
              <w:rPr>
                <w:rFonts w:ascii="Arial" w:eastAsia="Times New Roman" w:hAnsi="Arial" w:cs="Arial"/>
                <w:sz w:val="20"/>
                <w:szCs w:val="20"/>
              </w:rPr>
              <w:t>.</w:t>
            </w:r>
          </w:p>
          <w:p w14:paraId="3C207A43" w14:textId="56E63A69" w:rsidR="00E5695C" w:rsidRPr="00DA7242" w:rsidRDefault="00552B49" w:rsidP="00552B49">
            <w:pPr>
              <w:spacing w:before="120" w:after="120" w:line="240" w:lineRule="auto"/>
              <w:jc w:val="both"/>
              <w:rPr>
                <w:rFonts w:ascii="Arial" w:eastAsia="Times New Roman" w:hAnsi="Arial" w:cs="Arial"/>
                <w:b/>
                <w:sz w:val="20"/>
                <w:szCs w:val="20"/>
                <w:u w:val="single"/>
              </w:rPr>
            </w:pPr>
            <w:r>
              <w:rPr>
                <w:rFonts w:ascii="Arial" w:eastAsia="Times New Roman" w:hAnsi="Arial" w:cs="Arial"/>
                <w:sz w:val="20"/>
                <w:szCs w:val="20"/>
              </w:rPr>
              <w:lastRenderedPageBreak/>
              <w:t>Sign convention: positive for net cash paid out, negative for net cash received.</w:t>
            </w:r>
          </w:p>
        </w:tc>
      </w:tr>
      <w:tr w:rsidR="005F106D" w:rsidRPr="00DA7242" w14:paraId="0122BF3B" w14:textId="77777777" w:rsidTr="0035689D">
        <w:tc>
          <w:tcPr>
            <w:tcW w:w="1188" w:type="dxa"/>
            <w:tcBorders>
              <w:top w:val="single" w:sz="4" w:space="0" w:color="auto"/>
              <w:left w:val="single" w:sz="4" w:space="0" w:color="auto"/>
              <w:bottom w:val="single" w:sz="4" w:space="0" w:color="auto"/>
              <w:right w:val="single" w:sz="4" w:space="0" w:color="auto"/>
            </w:tcBorders>
          </w:tcPr>
          <w:p w14:paraId="0E528E70" w14:textId="64E63919"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lastRenderedPageBreak/>
              <w:t>0070</w:t>
            </w:r>
          </w:p>
        </w:tc>
        <w:tc>
          <w:tcPr>
            <w:tcW w:w="8559" w:type="dxa"/>
            <w:tcBorders>
              <w:top w:val="single" w:sz="4" w:space="0" w:color="auto"/>
              <w:left w:val="single" w:sz="4" w:space="0" w:color="auto"/>
              <w:bottom w:val="single" w:sz="4" w:space="0" w:color="auto"/>
              <w:right w:val="single" w:sz="4" w:space="0" w:color="auto"/>
            </w:tcBorders>
          </w:tcPr>
          <w:p w14:paraId="102F13F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Highest Daily peak over the reporting month</w:t>
            </w:r>
          </w:p>
          <w:p w14:paraId="791DA3D3" w14:textId="26066278" w:rsidR="00E5695C" w:rsidRPr="00552B49" w:rsidRDefault="005F106D" w:rsidP="00552B49">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Highest Daily net </w:t>
            </w:r>
            <w:r w:rsidR="00E5695C">
              <w:rPr>
                <w:rFonts w:ascii="Arial" w:eastAsia="Times New Roman" w:hAnsi="Arial" w:cs="Arial"/>
                <w:sz w:val="20"/>
                <w:szCs w:val="20"/>
              </w:rPr>
              <w:t xml:space="preserve">variation margin </w:t>
            </w:r>
            <w:r w:rsidRPr="00DA7242">
              <w:rPr>
                <w:rFonts w:ascii="Arial" w:eastAsia="Times New Roman" w:hAnsi="Arial" w:cs="Arial"/>
                <w:sz w:val="20"/>
                <w:szCs w:val="20"/>
              </w:rPr>
              <w:t>amount paid out over the reporting month</w:t>
            </w:r>
            <w:r w:rsidR="00E5695C">
              <w:rPr>
                <w:rFonts w:ascii="Arial" w:eastAsia="Times New Roman" w:hAnsi="Arial" w:cs="Arial"/>
                <w:sz w:val="20"/>
                <w:szCs w:val="20"/>
              </w:rPr>
              <w:t>.</w:t>
            </w:r>
          </w:p>
        </w:tc>
      </w:tr>
      <w:tr w:rsidR="005F106D" w:rsidRPr="00DA7242" w14:paraId="1A5681B3" w14:textId="77777777" w:rsidTr="0035689D">
        <w:tc>
          <w:tcPr>
            <w:tcW w:w="1188" w:type="dxa"/>
            <w:tcBorders>
              <w:top w:val="single" w:sz="4" w:space="0" w:color="auto"/>
              <w:left w:val="single" w:sz="4" w:space="0" w:color="auto"/>
              <w:bottom w:val="single" w:sz="4" w:space="0" w:color="auto"/>
              <w:right w:val="single" w:sz="4" w:space="0" w:color="auto"/>
            </w:tcBorders>
          </w:tcPr>
          <w:p w14:paraId="2D0EEB5D" w14:textId="3C83E5AF"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0080</w:t>
            </w:r>
          </w:p>
        </w:tc>
        <w:tc>
          <w:tcPr>
            <w:tcW w:w="8559" w:type="dxa"/>
            <w:tcBorders>
              <w:top w:val="single" w:sz="4" w:space="0" w:color="auto"/>
              <w:left w:val="single" w:sz="4" w:space="0" w:color="auto"/>
              <w:bottom w:val="single" w:sz="4" w:space="0" w:color="auto"/>
              <w:right w:val="single" w:sz="4" w:space="0" w:color="auto"/>
            </w:tcBorders>
          </w:tcPr>
          <w:p w14:paraId="306819B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Margin call requirements - Liquidity stress test</w:t>
            </w:r>
          </w:p>
          <w:p w14:paraId="24AF590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liquidity stress test related information:</w:t>
            </w:r>
          </w:p>
          <w:p w14:paraId="75F77E67"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Margin call requirement: paid out net of paid in;</w:t>
            </w:r>
          </w:p>
          <w:p w14:paraId="32B92C98"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Time Horizon;</w:t>
            </w:r>
          </w:p>
          <w:p w14:paraId="04F08622"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Confidence level.</w:t>
            </w:r>
          </w:p>
        </w:tc>
      </w:tr>
    </w:tbl>
    <w:p w14:paraId="03BA5E1D" w14:textId="77777777" w:rsidR="005F106D" w:rsidRPr="00DA7242" w:rsidRDefault="005F106D" w:rsidP="005F106D">
      <w:pPr>
        <w:tabs>
          <w:tab w:val="left" w:pos="2065"/>
        </w:tabs>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286A6686"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FB926D9"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1D142209"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7A068385" w14:textId="77777777" w:rsidTr="0035689D">
        <w:tc>
          <w:tcPr>
            <w:tcW w:w="1188" w:type="dxa"/>
            <w:tcBorders>
              <w:top w:val="single" w:sz="4" w:space="0" w:color="auto"/>
              <w:left w:val="single" w:sz="4" w:space="0" w:color="auto"/>
              <w:bottom w:val="single" w:sz="4" w:space="0" w:color="auto"/>
              <w:right w:val="single" w:sz="4" w:space="0" w:color="auto"/>
            </w:tcBorders>
          </w:tcPr>
          <w:p w14:paraId="14EBDF7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0420</w:t>
            </w:r>
          </w:p>
        </w:tc>
        <w:tc>
          <w:tcPr>
            <w:tcW w:w="8559" w:type="dxa"/>
            <w:tcBorders>
              <w:top w:val="single" w:sz="4" w:space="0" w:color="auto"/>
              <w:left w:val="single" w:sz="4" w:space="0" w:color="auto"/>
              <w:bottom w:val="single" w:sz="4" w:space="0" w:color="auto"/>
              <w:right w:val="single" w:sz="4" w:space="0" w:color="auto"/>
            </w:tcBorders>
          </w:tcPr>
          <w:p w14:paraId="37E7FE2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w:t>
            </w:r>
          </w:p>
          <w:p w14:paraId="5A0E84B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amount requested for the corresponding fields indicated in columns 0010 to 0080 of the table 7 for CCP and OTC cleared SFTs, Derivatives &amp; Long Settlement Transactions</w:t>
            </w:r>
          </w:p>
        </w:tc>
      </w:tr>
      <w:tr w:rsidR="005F106D" w:rsidRPr="00DA7242" w14:paraId="1E3D430C" w14:textId="77777777" w:rsidTr="0035689D">
        <w:tc>
          <w:tcPr>
            <w:tcW w:w="1188" w:type="dxa"/>
            <w:tcBorders>
              <w:top w:val="single" w:sz="4" w:space="0" w:color="auto"/>
              <w:left w:val="single" w:sz="4" w:space="0" w:color="auto"/>
              <w:bottom w:val="single" w:sz="4" w:space="0" w:color="auto"/>
              <w:right w:val="single" w:sz="4" w:space="0" w:color="auto"/>
            </w:tcBorders>
          </w:tcPr>
          <w:p w14:paraId="66F08F1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0430</w:t>
            </w:r>
          </w:p>
        </w:tc>
        <w:tc>
          <w:tcPr>
            <w:tcW w:w="8559" w:type="dxa"/>
            <w:tcBorders>
              <w:top w:val="single" w:sz="4" w:space="0" w:color="auto"/>
              <w:left w:val="single" w:sz="4" w:space="0" w:color="auto"/>
              <w:bottom w:val="single" w:sz="4" w:space="0" w:color="auto"/>
              <w:right w:val="single" w:sz="4" w:space="0" w:color="auto"/>
            </w:tcBorders>
          </w:tcPr>
          <w:p w14:paraId="35AF008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Derivatives &amp; Long Settlement Transactions</w:t>
            </w:r>
          </w:p>
          <w:p w14:paraId="15B3652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amount requested for the corresponding fields indicated in columns 0010 to 0080 of the table for margined Derivatives &amp; Long Settlement Transactions</w:t>
            </w:r>
          </w:p>
        </w:tc>
      </w:tr>
      <w:tr w:rsidR="005F106D" w:rsidRPr="00DA7242" w14:paraId="174A62A1" w14:textId="77777777" w:rsidTr="0035689D">
        <w:tc>
          <w:tcPr>
            <w:tcW w:w="1188" w:type="dxa"/>
            <w:tcBorders>
              <w:top w:val="single" w:sz="4" w:space="0" w:color="auto"/>
              <w:left w:val="single" w:sz="4" w:space="0" w:color="auto"/>
              <w:bottom w:val="single" w:sz="4" w:space="0" w:color="auto"/>
              <w:right w:val="single" w:sz="4" w:space="0" w:color="auto"/>
            </w:tcBorders>
          </w:tcPr>
          <w:p w14:paraId="2F41D2B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0440</w:t>
            </w:r>
          </w:p>
        </w:tc>
        <w:tc>
          <w:tcPr>
            <w:tcW w:w="8559" w:type="dxa"/>
            <w:tcBorders>
              <w:top w:val="single" w:sz="4" w:space="0" w:color="auto"/>
              <w:left w:val="single" w:sz="4" w:space="0" w:color="auto"/>
              <w:bottom w:val="single" w:sz="4" w:space="0" w:color="auto"/>
              <w:right w:val="single" w:sz="4" w:space="0" w:color="auto"/>
            </w:tcBorders>
          </w:tcPr>
          <w:p w14:paraId="0B3D888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Time horizon (days)</w:t>
            </w:r>
          </w:p>
          <w:p w14:paraId="52AB78E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time horizon assumption used under the margin call liquidity stress test</w:t>
            </w:r>
          </w:p>
        </w:tc>
      </w:tr>
      <w:tr w:rsidR="005F106D" w:rsidRPr="00DA7242" w14:paraId="1C44B031" w14:textId="77777777" w:rsidTr="0035689D">
        <w:tc>
          <w:tcPr>
            <w:tcW w:w="1188" w:type="dxa"/>
            <w:tcBorders>
              <w:top w:val="single" w:sz="4" w:space="0" w:color="auto"/>
              <w:left w:val="single" w:sz="4" w:space="0" w:color="auto"/>
              <w:bottom w:val="single" w:sz="4" w:space="0" w:color="auto"/>
              <w:right w:val="single" w:sz="4" w:space="0" w:color="auto"/>
            </w:tcBorders>
          </w:tcPr>
          <w:p w14:paraId="1BB6881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0450</w:t>
            </w:r>
          </w:p>
        </w:tc>
        <w:tc>
          <w:tcPr>
            <w:tcW w:w="8559" w:type="dxa"/>
            <w:tcBorders>
              <w:top w:val="single" w:sz="4" w:space="0" w:color="auto"/>
              <w:left w:val="single" w:sz="4" w:space="0" w:color="auto"/>
              <w:bottom w:val="single" w:sz="4" w:space="0" w:color="auto"/>
              <w:right w:val="single" w:sz="4" w:space="0" w:color="auto"/>
            </w:tcBorders>
          </w:tcPr>
          <w:p w14:paraId="4490A14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Confidence level (%)</w:t>
            </w:r>
          </w:p>
          <w:p w14:paraId="7B879AA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confidence level of the modelling approach</w:t>
            </w:r>
          </w:p>
        </w:tc>
      </w:tr>
    </w:tbl>
    <w:p w14:paraId="12281235" w14:textId="77777777" w:rsidR="005F106D" w:rsidRDefault="005F106D" w:rsidP="005F106D">
      <w:pPr>
        <w:tabs>
          <w:tab w:val="left" w:pos="2065"/>
        </w:tabs>
        <w:rPr>
          <w:rFonts w:ascii="Arial" w:hAnsi="Arial" w:cs="Arial"/>
          <w:sz w:val="20"/>
          <w:szCs w:val="20"/>
        </w:rPr>
      </w:pPr>
    </w:p>
    <w:p w14:paraId="0513A438" w14:textId="72BAFE67" w:rsidR="00997A87" w:rsidRDefault="00CD3182" w:rsidP="00997A87">
      <w:pPr>
        <w:jc w:val="center"/>
        <w:rPr>
          <w:rFonts w:ascii="Arial" w:hAnsi="Arial" w:cs="Arial"/>
          <w:b/>
          <w:sz w:val="20"/>
          <w:szCs w:val="20"/>
        </w:rPr>
      </w:pPr>
      <w:r>
        <w:rPr>
          <w:rFonts w:ascii="Arial" w:hAnsi="Arial" w:cs="Arial"/>
          <w:b/>
          <w:sz w:val="20"/>
          <w:szCs w:val="20"/>
        </w:rPr>
        <w:t>Part V</w:t>
      </w:r>
      <w:r w:rsidR="00997A87" w:rsidRPr="00DA7242">
        <w:rPr>
          <w:rFonts w:ascii="Arial" w:hAnsi="Arial" w:cs="Arial"/>
          <w:b/>
          <w:sz w:val="20"/>
          <w:szCs w:val="20"/>
        </w:rPr>
        <w:t xml:space="preserve">: </w:t>
      </w:r>
      <w:r w:rsidR="00997A87">
        <w:rPr>
          <w:rFonts w:ascii="Arial" w:hAnsi="Arial" w:cs="Arial"/>
          <w:b/>
          <w:sz w:val="20"/>
          <w:szCs w:val="20"/>
        </w:rPr>
        <w:t>Operation</w:t>
      </w:r>
      <w:r w:rsidR="00997A87" w:rsidRPr="00DA7242">
        <w:rPr>
          <w:rFonts w:ascii="Arial" w:hAnsi="Arial" w:cs="Arial"/>
          <w:b/>
          <w:sz w:val="20"/>
          <w:szCs w:val="20"/>
        </w:rPr>
        <w:t>al Instructions</w:t>
      </w:r>
    </w:p>
    <w:p w14:paraId="0E78D2E7" w14:textId="07BE68F6" w:rsidR="00C847DA" w:rsidRPr="0035689D" w:rsidRDefault="00C847DA">
      <w:pPr>
        <w:jc w:val="both"/>
        <w:rPr>
          <w:rFonts w:ascii="Arial" w:eastAsia="Times New Roman" w:hAnsi="Arial" w:cs="Arial"/>
          <w:sz w:val="20"/>
          <w:szCs w:val="20"/>
        </w:rPr>
      </w:pPr>
      <w:r w:rsidRPr="0035689D">
        <w:rPr>
          <w:rFonts w:ascii="Arial" w:eastAsia="Times New Roman" w:hAnsi="Arial" w:cs="Arial"/>
          <w:sz w:val="20"/>
          <w:szCs w:val="20"/>
        </w:rPr>
        <w:t>The information gathered through this data request shall be managed in a sequential approach with</w:t>
      </w:r>
      <w:r>
        <w:rPr>
          <w:rFonts w:ascii="Arial" w:eastAsia="Times New Roman" w:hAnsi="Arial" w:cs="Arial"/>
          <w:sz w:val="20"/>
          <w:szCs w:val="20"/>
        </w:rPr>
        <w:t xml:space="preserve"> Reporting Institutions submitting filled-in templates to the relevant NCA/NCB and NCAs/NCBs</w:t>
      </w:r>
      <w:r w:rsidRPr="0035689D">
        <w:rPr>
          <w:rFonts w:ascii="Arial" w:eastAsia="Times New Roman" w:hAnsi="Arial" w:cs="Arial"/>
          <w:sz w:val="20"/>
          <w:szCs w:val="20"/>
        </w:rPr>
        <w:t xml:space="preserve"> channelling the data to the ECB. The information provided by </w:t>
      </w:r>
      <w:r>
        <w:rPr>
          <w:rFonts w:ascii="Arial" w:eastAsia="Times New Roman" w:hAnsi="Arial" w:cs="Arial"/>
          <w:sz w:val="20"/>
          <w:szCs w:val="20"/>
        </w:rPr>
        <w:t>S</w:t>
      </w:r>
      <w:r w:rsidRPr="0035689D">
        <w:rPr>
          <w:rFonts w:ascii="Arial" w:eastAsia="Times New Roman" w:hAnsi="Arial" w:cs="Arial"/>
          <w:sz w:val="20"/>
          <w:szCs w:val="20"/>
        </w:rPr>
        <w:t>ubsidiaries shall be collected by the local NCA/NCB of the subsidiary.</w:t>
      </w:r>
    </w:p>
    <w:p w14:paraId="1751CB8B" w14:textId="30EBE823" w:rsidR="00997A87" w:rsidRDefault="00997A87">
      <w:pPr>
        <w:jc w:val="both"/>
        <w:rPr>
          <w:rFonts w:ascii="Arial" w:hAnsi="Arial" w:cs="Arial"/>
          <w:b/>
          <w:sz w:val="20"/>
          <w:szCs w:val="20"/>
          <w:u w:val="single"/>
        </w:rPr>
      </w:pPr>
      <w:r>
        <w:rPr>
          <w:rFonts w:ascii="Arial" w:hAnsi="Arial" w:cs="Arial"/>
          <w:b/>
          <w:sz w:val="20"/>
          <w:szCs w:val="20"/>
          <w:u w:val="single"/>
        </w:rPr>
        <w:t>Reporting Format</w:t>
      </w:r>
    </w:p>
    <w:p w14:paraId="75FABB89" w14:textId="39484323" w:rsidR="00A561C1" w:rsidRDefault="00997A87" w:rsidP="0035689D">
      <w:pPr>
        <w:jc w:val="both"/>
        <w:rPr>
          <w:rFonts w:ascii="Arial" w:eastAsia="Times New Roman" w:hAnsi="Arial" w:cs="Arial"/>
          <w:color w:val="000000"/>
          <w:sz w:val="20"/>
          <w:szCs w:val="20"/>
          <w:lang w:eastAsia="en-GB"/>
        </w:rPr>
      </w:pPr>
      <w:r w:rsidRPr="0035689D">
        <w:rPr>
          <w:rFonts w:ascii="Arial" w:eastAsia="Times New Roman" w:hAnsi="Arial" w:cs="Arial"/>
          <w:sz w:val="20"/>
          <w:szCs w:val="20"/>
        </w:rPr>
        <w:t>All reporting will be delivered in Excel</w:t>
      </w:r>
      <w:r w:rsidR="00464F27">
        <w:rPr>
          <w:rFonts w:ascii="Arial" w:eastAsia="Times New Roman" w:hAnsi="Arial" w:cs="Arial"/>
          <w:sz w:val="20"/>
          <w:szCs w:val="20"/>
        </w:rPr>
        <w:t xml:space="preserve"> (</w:t>
      </w:r>
      <w:proofErr w:type="spellStart"/>
      <w:r w:rsidR="00464F27">
        <w:rPr>
          <w:rFonts w:ascii="Arial" w:eastAsia="Times New Roman" w:hAnsi="Arial" w:cs="Arial"/>
          <w:sz w:val="20"/>
          <w:szCs w:val="20"/>
        </w:rPr>
        <w:t>xlsx</w:t>
      </w:r>
      <w:proofErr w:type="spellEnd"/>
      <w:r w:rsidR="00464F27">
        <w:rPr>
          <w:rFonts w:ascii="Arial" w:eastAsia="Times New Roman" w:hAnsi="Arial" w:cs="Arial"/>
          <w:sz w:val="20"/>
          <w:szCs w:val="20"/>
        </w:rPr>
        <w:t>)</w:t>
      </w:r>
      <w:r w:rsidRPr="0035689D">
        <w:rPr>
          <w:rFonts w:ascii="Arial" w:eastAsia="Times New Roman" w:hAnsi="Arial" w:cs="Arial"/>
          <w:sz w:val="20"/>
          <w:szCs w:val="20"/>
        </w:rPr>
        <w:t xml:space="preserve"> format</w:t>
      </w:r>
      <w:r w:rsidR="00A561C1">
        <w:rPr>
          <w:rFonts w:ascii="Arial" w:eastAsia="Times New Roman" w:hAnsi="Arial" w:cs="Arial"/>
          <w:sz w:val="20"/>
          <w:szCs w:val="20"/>
        </w:rPr>
        <w:t xml:space="preserve">. Reporting institutions are kindly asked to fill-in the templates as provided by the SSM. </w:t>
      </w:r>
      <w:r w:rsidR="00A561C1">
        <w:rPr>
          <w:rFonts w:ascii="Arial" w:eastAsia="Times New Roman" w:hAnsi="Arial" w:cs="Arial"/>
          <w:color w:val="000000"/>
          <w:sz w:val="20"/>
          <w:szCs w:val="20"/>
          <w:lang w:eastAsia="en-GB"/>
        </w:rPr>
        <w:t xml:space="preserve">Reporting institutions </w:t>
      </w:r>
      <w:r w:rsidR="00A561C1" w:rsidRPr="00A561C1">
        <w:rPr>
          <w:rFonts w:ascii="Arial" w:eastAsia="Times New Roman" w:hAnsi="Arial" w:cs="Arial"/>
          <w:color w:val="000000"/>
          <w:sz w:val="20"/>
          <w:szCs w:val="20"/>
          <w:lang w:eastAsia="en-GB"/>
        </w:rPr>
        <w:t xml:space="preserve">are </w:t>
      </w:r>
      <w:r w:rsidR="00464F27">
        <w:rPr>
          <w:rFonts w:ascii="Arial" w:eastAsia="Times New Roman" w:hAnsi="Arial" w:cs="Arial"/>
          <w:color w:val="000000"/>
          <w:sz w:val="20"/>
          <w:szCs w:val="20"/>
          <w:lang w:eastAsia="en-GB"/>
        </w:rPr>
        <w:t xml:space="preserve">kindly </w:t>
      </w:r>
      <w:r w:rsidR="00A561C1" w:rsidRPr="00A561C1">
        <w:rPr>
          <w:rFonts w:ascii="Arial" w:eastAsia="Times New Roman" w:hAnsi="Arial" w:cs="Arial"/>
          <w:color w:val="000000"/>
          <w:sz w:val="20"/>
          <w:szCs w:val="20"/>
          <w:lang w:eastAsia="en-GB"/>
        </w:rPr>
        <w:t>asked</w:t>
      </w:r>
      <w:r w:rsidR="00A561C1" w:rsidRPr="00A561C1">
        <w:rPr>
          <w:rFonts w:ascii="Arial" w:eastAsia="Times New Roman" w:hAnsi="Arial" w:cs="Arial"/>
          <w:b/>
          <w:bCs/>
          <w:color w:val="000000"/>
          <w:sz w:val="20"/>
          <w:szCs w:val="20"/>
          <w:lang w:eastAsia="en-GB"/>
        </w:rPr>
        <w:t xml:space="preserve"> not to change the structure</w:t>
      </w:r>
      <w:r w:rsidR="00A561C1" w:rsidRPr="00A561C1">
        <w:rPr>
          <w:rFonts w:ascii="Arial" w:eastAsia="Times New Roman" w:hAnsi="Arial" w:cs="Arial"/>
          <w:color w:val="000000"/>
          <w:sz w:val="20"/>
          <w:szCs w:val="20"/>
          <w:lang w:eastAsia="en-GB"/>
        </w:rPr>
        <w:t xml:space="preserve"> o</w:t>
      </w:r>
      <w:r w:rsidR="00A561C1">
        <w:rPr>
          <w:rFonts w:ascii="Arial" w:eastAsia="Times New Roman" w:hAnsi="Arial" w:cs="Arial"/>
          <w:color w:val="000000"/>
          <w:sz w:val="20"/>
          <w:szCs w:val="20"/>
          <w:lang w:eastAsia="en-GB"/>
        </w:rPr>
        <w:t xml:space="preserve">f template (e.g. unmerge cells, </w:t>
      </w:r>
      <w:r w:rsidR="00A561C1" w:rsidRPr="00A561C1">
        <w:rPr>
          <w:rFonts w:ascii="Arial" w:eastAsia="Times New Roman" w:hAnsi="Arial" w:cs="Arial"/>
          <w:color w:val="000000"/>
          <w:sz w:val="20"/>
          <w:szCs w:val="20"/>
          <w:lang w:eastAsia="en-GB"/>
        </w:rPr>
        <w:t>change text in cells not colo</w:t>
      </w:r>
      <w:r w:rsidR="00464F27">
        <w:rPr>
          <w:rFonts w:ascii="Arial" w:eastAsia="Times New Roman" w:hAnsi="Arial" w:cs="Arial"/>
          <w:color w:val="000000"/>
          <w:sz w:val="20"/>
          <w:szCs w:val="20"/>
          <w:lang w:eastAsia="en-GB"/>
        </w:rPr>
        <w:t>u</w:t>
      </w:r>
      <w:r w:rsidR="00A561C1" w:rsidRPr="00A561C1">
        <w:rPr>
          <w:rFonts w:ascii="Arial" w:eastAsia="Times New Roman" w:hAnsi="Arial" w:cs="Arial"/>
          <w:color w:val="000000"/>
          <w:sz w:val="20"/>
          <w:szCs w:val="20"/>
          <w:lang w:eastAsia="en-GB"/>
        </w:rPr>
        <w:t>red for user input</w:t>
      </w:r>
      <w:r w:rsidR="00C847DA">
        <w:rPr>
          <w:rFonts w:ascii="Arial" w:eastAsia="Times New Roman" w:hAnsi="Arial" w:cs="Arial"/>
          <w:color w:val="000000"/>
          <w:sz w:val="20"/>
          <w:szCs w:val="20"/>
          <w:lang w:eastAsia="en-GB"/>
        </w:rPr>
        <w:t>, remove or rearrange sheets</w:t>
      </w:r>
      <w:r w:rsidR="00A561C1" w:rsidRPr="00A561C1">
        <w:rPr>
          <w:rFonts w:ascii="Arial" w:eastAsia="Times New Roman" w:hAnsi="Arial" w:cs="Arial"/>
          <w:color w:val="000000"/>
          <w:sz w:val="20"/>
          <w:szCs w:val="20"/>
          <w:lang w:eastAsia="en-GB"/>
        </w:rPr>
        <w:t>)</w:t>
      </w:r>
      <w:r w:rsidR="00464F27">
        <w:rPr>
          <w:rFonts w:ascii="Arial" w:eastAsia="Times New Roman" w:hAnsi="Arial" w:cs="Arial"/>
          <w:color w:val="000000"/>
          <w:sz w:val="20"/>
          <w:szCs w:val="20"/>
          <w:lang w:eastAsia="en-GB"/>
        </w:rPr>
        <w:t xml:space="preserve"> </w:t>
      </w:r>
      <w:r w:rsidR="00464F27">
        <w:rPr>
          <w:rFonts w:ascii="Arial" w:eastAsia="Times New Roman" w:hAnsi="Arial" w:cs="Arial"/>
          <w:bCs/>
          <w:color w:val="000000"/>
          <w:sz w:val="20"/>
          <w:szCs w:val="20"/>
          <w:lang w:eastAsia="en-GB"/>
        </w:rPr>
        <w:t xml:space="preserve">or </w:t>
      </w:r>
      <w:r w:rsidR="00A561C1" w:rsidRPr="00A561C1">
        <w:rPr>
          <w:rFonts w:ascii="Arial" w:eastAsia="Times New Roman" w:hAnsi="Arial" w:cs="Arial"/>
          <w:b/>
          <w:bCs/>
          <w:color w:val="000000"/>
          <w:sz w:val="20"/>
          <w:szCs w:val="20"/>
          <w:lang w:eastAsia="en-GB"/>
        </w:rPr>
        <w:t>report text where a numeric value</w:t>
      </w:r>
      <w:r w:rsidR="00A561C1" w:rsidRPr="0035689D">
        <w:rPr>
          <w:rFonts w:ascii="Arial" w:eastAsia="Times New Roman" w:hAnsi="Arial" w:cs="Arial"/>
          <w:bCs/>
          <w:color w:val="000000"/>
          <w:sz w:val="20"/>
          <w:szCs w:val="20"/>
          <w:lang w:eastAsia="en-GB"/>
        </w:rPr>
        <w:t xml:space="preserve"> is expected. </w:t>
      </w:r>
      <w:r w:rsidR="00A561C1" w:rsidRPr="00A561C1">
        <w:rPr>
          <w:rFonts w:ascii="Arial" w:eastAsia="Times New Roman" w:hAnsi="Arial" w:cs="Arial"/>
          <w:b/>
          <w:bCs/>
          <w:color w:val="000000"/>
          <w:sz w:val="20"/>
          <w:szCs w:val="20"/>
          <w:lang w:eastAsia="en-GB"/>
        </w:rPr>
        <w:t>Any tampering of the excel file submitted</w:t>
      </w:r>
      <w:r w:rsidR="00A561C1" w:rsidRPr="0035689D">
        <w:rPr>
          <w:rFonts w:ascii="Arial" w:eastAsia="Times New Roman" w:hAnsi="Arial" w:cs="Arial"/>
          <w:bCs/>
          <w:color w:val="000000"/>
          <w:sz w:val="20"/>
          <w:szCs w:val="20"/>
          <w:lang w:eastAsia="en-GB"/>
        </w:rPr>
        <w:t xml:space="preserve"> other than filling in the requested fields </w:t>
      </w:r>
      <w:r w:rsidR="00A561C1" w:rsidRPr="00A561C1">
        <w:rPr>
          <w:rFonts w:ascii="Arial" w:eastAsia="Times New Roman" w:hAnsi="Arial" w:cs="Arial"/>
          <w:b/>
          <w:bCs/>
          <w:color w:val="000000"/>
          <w:sz w:val="20"/>
          <w:szCs w:val="20"/>
          <w:lang w:eastAsia="en-GB"/>
        </w:rPr>
        <w:t xml:space="preserve">might result in </w:t>
      </w:r>
      <w:r w:rsidR="00C847DA">
        <w:rPr>
          <w:rFonts w:ascii="Arial" w:eastAsia="Times New Roman" w:hAnsi="Arial" w:cs="Arial"/>
          <w:b/>
          <w:bCs/>
          <w:color w:val="000000"/>
          <w:sz w:val="20"/>
          <w:szCs w:val="20"/>
          <w:lang w:eastAsia="en-GB"/>
        </w:rPr>
        <w:t xml:space="preserve">a </w:t>
      </w:r>
      <w:r w:rsidR="00A561C1" w:rsidRPr="00A561C1">
        <w:rPr>
          <w:rFonts w:ascii="Arial" w:eastAsia="Times New Roman" w:hAnsi="Arial" w:cs="Arial"/>
          <w:b/>
          <w:bCs/>
          <w:color w:val="000000"/>
          <w:sz w:val="20"/>
          <w:szCs w:val="20"/>
          <w:lang w:eastAsia="en-GB"/>
        </w:rPr>
        <w:t>rejection of the template</w:t>
      </w:r>
      <w:r w:rsidR="00A561C1" w:rsidRPr="0035689D">
        <w:rPr>
          <w:rFonts w:ascii="Arial" w:eastAsia="Times New Roman" w:hAnsi="Arial" w:cs="Arial"/>
          <w:bCs/>
          <w:color w:val="000000"/>
          <w:sz w:val="20"/>
          <w:szCs w:val="20"/>
          <w:lang w:eastAsia="en-GB"/>
        </w:rPr>
        <w:t>.</w:t>
      </w:r>
      <w:r w:rsidR="00A561C1">
        <w:rPr>
          <w:rFonts w:ascii="Arial" w:eastAsia="Times New Roman" w:hAnsi="Arial" w:cs="Arial"/>
          <w:bCs/>
          <w:color w:val="000000"/>
          <w:sz w:val="20"/>
          <w:szCs w:val="20"/>
          <w:lang w:eastAsia="en-GB"/>
        </w:rPr>
        <w:t xml:space="preserve"> </w:t>
      </w:r>
      <w:r w:rsidR="00A561C1" w:rsidRPr="00464EB6">
        <w:rPr>
          <w:rFonts w:ascii="Arial" w:eastAsia="Times New Roman" w:hAnsi="Arial" w:cs="Arial"/>
          <w:bCs/>
          <w:color w:val="000000"/>
          <w:sz w:val="20"/>
          <w:szCs w:val="20"/>
          <w:lang w:eastAsia="en-GB"/>
        </w:rPr>
        <w:t>Excel datatypes (number, date, text) must be respected and not altered.</w:t>
      </w:r>
      <w:r w:rsidR="00A561C1">
        <w:rPr>
          <w:rFonts w:ascii="Arial" w:eastAsia="Times New Roman" w:hAnsi="Arial" w:cs="Arial"/>
          <w:b/>
          <w:bCs/>
          <w:color w:val="000000"/>
          <w:sz w:val="20"/>
          <w:szCs w:val="20"/>
          <w:lang w:eastAsia="en-GB"/>
        </w:rPr>
        <w:t xml:space="preserve"> </w:t>
      </w:r>
      <w:r w:rsidR="00A561C1" w:rsidRPr="00A561C1">
        <w:rPr>
          <w:rFonts w:ascii="Arial" w:eastAsia="Times New Roman" w:hAnsi="Arial" w:cs="Arial"/>
          <w:color w:val="000000"/>
          <w:sz w:val="20"/>
          <w:szCs w:val="20"/>
          <w:lang w:eastAsia="en-GB"/>
        </w:rPr>
        <w:t xml:space="preserve">It is preferable to leave </w:t>
      </w:r>
      <w:r w:rsidR="00A561C1">
        <w:rPr>
          <w:rFonts w:ascii="Arial" w:eastAsia="Times New Roman" w:hAnsi="Arial" w:cs="Arial"/>
          <w:color w:val="000000"/>
          <w:sz w:val="20"/>
          <w:szCs w:val="20"/>
          <w:lang w:eastAsia="en-GB"/>
        </w:rPr>
        <w:t>a field</w:t>
      </w:r>
      <w:r w:rsidR="00A561C1" w:rsidRPr="00A561C1">
        <w:rPr>
          <w:rFonts w:ascii="Arial" w:eastAsia="Times New Roman" w:hAnsi="Arial" w:cs="Arial"/>
          <w:color w:val="000000"/>
          <w:sz w:val="20"/>
          <w:szCs w:val="20"/>
          <w:lang w:eastAsia="en-GB"/>
        </w:rPr>
        <w:t xml:space="preserve"> empty and explain in the comment box.</w:t>
      </w:r>
      <w:r w:rsidR="00F14188">
        <w:rPr>
          <w:rFonts w:ascii="Arial" w:eastAsia="Times New Roman" w:hAnsi="Arial" w:cs="Arial"/>
          <w:color w:val="000000"/>
          <w:sz w:val="20"/>
          <w:szCs w:val="20"/>
          <w:lang w:eastAsia="en-GB"/>
        </w:rPr>
        <w:t xml:space="preserve"> </w:t>
      </w:r>
    </w:p>
    <w:p w14:paraId="40B3B401" w14:textId="0EB35BFA" w:rsidR="00F14188" w:rsidRDefault="00A57878" w:rsidP="0035689D">
      <w:pPr>
        <w:jc w:val="both"/>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Information on the </w:t>
      </w:r>
      <w:r w:rsidR="00904938">
        <w:rPr>
          <w:rFonts w:ascii="Arial" w:eastAsia="Times New Roman" w:hAnsi="Arial" w:cs="Arial"/>
          <w:color w:val="000000"/>
          <w:sz w:val="20"/>
          <w:szCs w:val="20"/>
          <w:lang w:eastAsia="en-GB"/>
        </w:rPr>
        <w:t>colour</w:t>
      </w:r>
      <w:r w:rsidR="00F14188">
        <w:rPr>
          <w:rFonts w:ascii="Arial" w:eastAsia="Times New Roman" w:hAnsi="Arial" w:cs="Arial"/>
          <w:color w:val="000000"/>
          <w:sz w:val="20"/>
          <w:szCs w:val="20"/>
          <w:lang w:eastAsia="en-GB"/>
        </w:rPr>
        <w:t xml:space="preserve"> codes for the cells to be filled in are in the instructions sheet of each template.</w:t>
      </w:r>
      <w:r>
        <w:rPr>
          <w:rFonts w:ascii="Arial" w:eastAsia="Times New Roman" w:hAnsi="Arial" w:cs="Arial"/>
          <w:color w:val="000000"/>
          <w:sz w:val="20"/>
          <w:szCs w:val="20"/>
          <w:lang w:eastAsia="en-GB"/>
        </w:rPr>
        <w:t xml:space="preserve"> According to the instructions, specific cells can be left empty for specific reference dates or reporting institutions. Institutions are asked to pay specific attention to the Conventions Chapter in Part I of the instructions</w:t>
      </w:r>
      <w:r w:rsidR="00904938">
        <w:rPr>
          <w:rFonts w:ascii="Arial" w:eastAsia="Times New Roman" w:hAnsi="Arial" w:cs="Arial"/>
          <w:color w:val="000000"/>
          <w:sz w:val="20"/>
          <w:szCs w:val="20"/>
          <w:lang w:eastAsia="en-GB"/>
        </w:rPr>
        <w:t>.</w:t>
      </w:r>
    </w:p>
    <w:p w14:paraId="2444625E" w14:textId="583D35C3" w:rsidR="00F14188" w:rsidRPr="0035689D" w:rsidRDefault="00F14188" w:rsidP="0035689D">
      <w:pPr>
        <w:jc w:val="both"/>
        <w:rPr>
          <w:rFonts w:ascii="Arial" w:hAnsi="Arial" w:cs="Arial"/>
          <w:b/>
          <w:sz w:val="20"/>
          <w:szCs w:val="20"/>
          <w:u w:val="single"/>
        </w:rPr>
      </w:pPr>
      <w:r w:rsidRPr="0035689D">
        <w:rPr>
          <w:rFonts w:ascii="Arial" w:hAnsi="Arial" w:cs="Arial"/>
          <w:b/>
          <w:sz w:val="20"/>
          <w:szCs w:val="20"/>
          <w:u w:val="single"/>
        </w:rPr>
        <w:t>Validation Rules</w:t>
      </w:r>
    </w:p>
    <w:p w14:paraId="15A27C1C" w14:textId="7E77A9E8" w:rsidR="00F14188" w:rsidRDefault="00F14188" w:rsidP="0035689D">
      <w:pPr>
        <w:spacing w:after="0" w:line="240" w:lineRule="auto"/>
        <w:jc w:val="both"/>
        <w:rPr>
          <w:rFonts w:ascii="Arial" w:eastAsia="Times New Roman" w:hAnsi="Arial" w:cs="Arial"/>
          <w:color w:val="000000"/>
          <w:sz w:val="20"/>
          <w:szCs w:val="20"/>
          <w:lang w:eastAsia="en-GB"/>
        </w:rPr>
      </w:pPr>
      <w:r w:rsidRPr="00F14188">
        <w:rPr>
          <w:rFonts w:ascii="Arial" w:eastAsia="Times New Roman" w:hAnsi="Arial" w:cs="Arial"/>
          <w:color w:val="000000"/>
          <w:sz w:val="20"/>
          <w:szCs w:val="20"/>
          <w:lang w:eastAsia="en-GB"/>
        </w:rPr>
        <w:lastRenderedPageBreak/>
        <w:t xml:space="preserve">Visual aids/checks have been added </w:t>
      </w:r>
      <w:r w:rsidR="00A57878">
        <w:rPr>
          <w:rFonts w:ascii="Arial" w:eastAsia="Times New Roman" w:hAnsi="Arial" w:cs="Arial"/>
          <w:color w:val="000000"/>
          <w:sz w:val="20"/>
          <w:szCs w:val="20"/>
          <w:lang w:eastAsia="en-GB"/>
        </w:rPr>
        <w:t xml:space="preserve">in the templates </w:t>
      </w:r>
      <w:r w:rsidRPr="00F14188">
        <w:rPr>
          <w:rFonts w:ascii="Arial" w:eastAsia="Times New Roman" w:hAnsi="Arial" w:cs="Arial"/>
          <w:color w:val="000000"/>
          <w:sz w:val="20"/>
          <w:szCs w:val="20"/>
          <w:lang w:eastAsia="en-GB"/>
        </w:rPr>
        <w:t>to assist the institutions in filling in the template in the appropriate manner.</w:t>
      </w:r>
      <w:r>
        <w:rPr>
          <w:rFonts w:ascii="Arial" w:eastAsia="Times New Roman" w:hAnsi="Arial" w:cs="Arial"/>
          <w:color w:val="000000"/>
          <w:sz w:val="20"/>
          <w:szCs w:val="20"/>
          <w:lang w:eastAsia="en-GB"/>
        </w:rPr>
        <w:t xml:space="preserve"> </w:t>
      </w:r>
      <w:r w:rsidRPr="00F14188">
        <w:rPr>
          <w:rFonts w:ascii="Arial" w:eastAsia="Times New Roman" w:hAnsi="Arial" w:cs="Arial"/>
          <w:color w:val="000000"/>
          <w:sz w:val="20"/>
          <w:szCs w:val="20"/>
          <w:lang w:eastAsia="en-GB"/>
        </w:rPr>
        <w:t xml:space="preserve">These are only indicative and not exhaustive. An institution may still submit a template even if the visual checks are failing. </w:t>
      </w:r>
    </w:p>
    <w:p w14:paraId="0B21BB69" w14:textId="77777777" w:rsidR="00F14188" w:rsidRDefault="00F14188" w:rsidP="0035689D">
      <w:pPr>
        <w:pStyle w:val="ListParagraph"/>
        <w:numPr>
          <w:ilvl w:val="0"/>
          <w:numId w:val="49"/>
        </w:numPr>
        <w:spacing w:after="0" w:line="240" w:lineRule="auto"/>
        <w:jc w:val="both"/>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 xml:space="preserve">An error means that a value is of the wrong datatype and the template will most likely be rejected upon reception. </w:t>
      </w:r>
    </w:p>
    <w:p w14:paraId="6CFED3A7" w14:textId="07A54408" w:rsidR="00F14188" w:rsidRDefault="00F14188" w:rsidP="0035689D">
      <w:pPr>
        <w:pStyle w:val="ListParagraph"/>
        <w:numPr>
          <w:ilvl w:val="0"/>
          <w:numId w:val="49"/>
        </w:numPr>
        <w:spacing w:after="0" w:line="240" w:lineRule="auto"/>
        <w:jc w:val="both"/>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 warning means that a value is improbable and/or a validation rule is broken</w:t>
      </w:r>
      <w:r>
        <w:rPr>
          <w:rFonts w:ascii="Arial" w:eastAsia="Times New Roman" w:hAnsi="Arial" w:cs="Arial"/>
          <w:color w:val="000000"/>
          <w:sz w:val="20"/>
          <w:szCs w:val="20"/>
          <w:lang w:eastAsia="en-GB"/>
        </w:rPr>
        <w:t>.</w:t>
      </w:r>
    </w:p>
    <w:p w14:paraId="565B4CFC" w14:textId="77777777" w:rsidR="00F14188" w:rsidRDefault="00F14188" w:rsidP="0035689D">
      <w:pPr>
        <w:spacing w:after="0" w:line="240" w:lineRule="auto"/>
        <w:jc w:val="both"/>
        <w:rPr>
          <w:rFonts w:ascii="Arial" w:eastAsia="Times New Roman" w:hAnsi="Arial" w:cs="Arial"/>
          <w:color w:val="000000"/>
          <w:sz w:val="20"/>
          <w:szCs w:val="20"/>
          <w:lang w:eastAsia="en-GB"/>
        </w:rPr>
      </w:pPr>
    </w:p>
    <w:p w14:paraId="7E16FBDE" w14:textId="6DFDBDE7" w:rsidR="00F14188" w:rsidRDefault="00F14188">
      <w:pPr>
        <w:spacing w:after="0" w:line="240" w:lineRule="auto"/>
        <w:jc w:val="both"/>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Additionally, a non-exhaustive list of validation rules is provided in a separate file as part of the reporting package, in order to assist the institutions </w:t>
      </w:r>
      <w:r w:rsidRPr="00F14188">
        <w:rPr>
          <w:rFonts w:ascii="Arial" w:eastAsia="Times New Roman" w:hAnsi="Arial" w:cs="Arial"/>
          <w:color w:val="000000"/>
          <w:sz w:val="20"/>
          <w:szCs w:val="20"/>
          <w:lang w:eastAsia="en-GB"/>
        </w:rPr>
        <w:t>in filling in the template in the appropriate manner.</w:t>
      </w:r>
    </w:p>
    <w:p w14:paraId="3A6B37B0" w14:textId="77777777" w:rsidR="00A57878" w:rsidRDefault="00A57878">
      <w:pPr>
        <w:spacing w:after="0" w:line="240" w:lineRule="auto"/>
        <w:jc w:val="both"/>
        <w:rPr>
          <w:rFonts w:ascii="Arial" w:eastAsia="Times New Roman" w:hAnsi="Arial" w:cs="Arial"/>
          <w:color w:val="000000"/>
          <w:sz w:val="20"/>
          <w:szCs w:val="20"/>
          <w:lang w:eastAsia="en-GB"/>
        </w:rPr>
      </w:pPr>
    </w:p>
    <w:p w14:paraId="580A2D11" w14:textId="196FD040" w:rsidR="00464F27" w:rsidRDefault="00464F27" w:rsidP="0035689D">
      <w:pPr>
        <w:jc w:val="both"/>
        <w:rPr>
          <w:rFonts w:ascii="Arial" w:eastAsia="Times New Roman" w:hAnsi="Arial" w:cs="Arial"/>
          <w:b/>
          <w:color w:val="000000"/>
          <w:sz w:val="20"/>
          <w:szCs w:val="20"/>
          <w:u w:val="single"/>
          <w:lang w:eastAsia="en-GB"/>
        </w:rPr>
      </w:pPr>
      <w:r w:rsidRPr="0035689D">
        <w:rPr>
          <w:rFonts w:ascii="Arial" w:eastAsia="Times New Roman" w:hAnsi="Arial" w:cs="Arial"/>
          <w:b/>
          <w:color w:val="000000"/>
          <w:sz w:val="20"/>
          <w:szCs w:val="20"/>
          <w:u w:val="single"/>
          <w:lang w:eastAsia="en-GB"/>
        </w:rPr>
        <w:t>Filename Convention</w:t>
      </w:r>
    </w:p>
    <w:p w14:paraId="48ACBCCE" w14:textId="14191C33" w:rsidR="00464F27" w:rsidRDefault="00464F27" w:rsidP="0035689D">
      <w:pPr>
        <w:jc w:val="both"/>
        <w:rPr>
          <w:rFonts w:ascii="Arial" w:eastAsia="Times New Roman" w:hAnsi="Arial" w:cs="Arial"/>
          <w:bCs/>
          <w:color w:val="000000"/>
          <w:sz w:val="20"/>
          <w:szCs w:val="20"/>
          <w:lang w:eastAsia="en-GB"/>
        </w:rPr>
      </w:pPr>
      <w:r w:rsidRPr="0035689D">
        <w:rPr>
          <w:rFonts w:ascii="Arial" w:eastAsia="Times New Roman" w:hAnsi="Arial" w:cs="Arial"/>
          <w:bCs/>
          <w:color w:val="000000"/>
          <w:sz w:val="20"/>
          <w:szCs w:val="20"/>
          <w:lang w:eastAsia="en-GB"/>
        </w:rPr>
        <w:t>C_CollectionName_CycleName_</w:t>
      </w:r>
      <w:r>
        <w:rPr>
          <w:rFonts w:ascii="Arial" w:eastAsia="Times New Roman" w:hAnsi="Arial" w:cs="Arial"/>
          <w:bCs/>
          <w:color w:val="000000"/>
          <w:sz w:val="20"/>
          <w:szCs w:val="20"/>
          <w:lang w:eastAsia="en-GB"/>
        </w:rPr>
        <w:t>Module</w:t>
      </w:r>
      <w:r w:rsidRPr="0035689D">
        <w:rPr>
          <w:rFonts w:ascii="Arial" w:eastAsia="Times New Roman" w:hAnsi="Arial" w:cs="Arial"/>
          <w:bCs/>
          <w:color w:val="000000"/>
          <w:sz w:val="20"/>
          <w:szCs w:val="20"/>
          <w:lang w:eastAsia="en-GB"/>
        </w:rPr>
        <w:t>Name_ReportingCode_ReferenceDate_VersionNumber_ConsolidationLevel.xlsx</w:t>
      </w:r>
    </w:p>
    <w:p w14:paraId="004031CC" w14:textId="39C30746" w:rsidR="005551A2" w:rsidRPr="0035689D" w:rsidRDefault="005551A2" w:rsidP="0035689D">
      <w:pPr>
        <w:jc w:val="both"/>
        <w:rPr>
          <w:rFonts w:ascii="Arial" w:eastAsia="Times New Roman" w:hAnsi="Arial" w:cs="Arial"/>
          <w:bCs/>
          <w:color w:val="000000"/>
          <w:sz w:val="20"/>
          <w:szCs w:val="20"/>
          <w:lang w:eastAsia="en-GB"/>
        </w:rPr>
      </w:pPr>
      <w:r>
        <w:rPr>
          <w:rFonts w:ascii="Arial" w:eastAsia="Times New Roman" w:hAnsi="Arial" w:cs="Arial"/>
          <w:bCs/>
          <w:color w:val="000000"/>
          <w:sz w:val="20"/>
          <w:szCs w:val="20"/>
          <w:lang w:eastAsia="en-GB"/>
        </w:rPr>
        <w:t>Notice that the filename (not the file extension) is case-insensitive.</w:t>
      </w:r>
    </w:p>
    <w:p w14:paraId="08FEF911" w14:textId="5CA9D0DC"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74624" behindDoc="0" locked="0" layoutInCell="1" allowOverlap="1" wp14:anchorId="5C5A4F15" wp14:editId="2E6118B4">
                <wp:simplePos x="0" y="0"/>
                <wp:positionH relativeFrom="column">
                  <wp:posOffset>4065905</wp:posOffset>
                </wp:positionH>
                <wp:positionV relativeFrom="paragraph">
                  <wp:posOffset>193675</wp:posOffset>
                </wp:positionV>
                <wp:extent cx="713105" cy="248920"/>
                <wp:effectExtent l="0" t="0" r="67945" b="74930"/>
                <wp:wrapNone/>
                <wp:docPr id="2049" name="Straight Arrow Connector 2049"/>
                <wp:cNvGraphicFramePr/>
                <a:graphic xmlns:a="http://schemas.openxmlformats.org/drawingml/2006/main">
                  <a:graphicData uri="http://schemas.microsoft.com/office/word/2010/wordprocessingShape">
                    <wps:wsp>
                      <wps:cNvCnPr/>
                      <wps:spPr>
                        <a:xfrm>
                          <a:off x="0" y="0"/>
                          <a:ext cx="713105" cy="2489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E8B4C82" id="_x0000_t32" coordsize="21600,21600" o:spt="32" o:oned="t" path="m,l21600,21600e" filled="f">
                <v:path arrowok="t" fillok="f" o:connecttype="none"/>
                <o:lock v:ext="edit" shapetype="t"/>
              </v:shapetype>
              <v:shape id="Straight Arrow Connector 2049" o:spid="_x0000_s1026" type="#_x0000_t32" style="position:absolute;margin-left:320.15pt;margin-top:15.25pt;width:56.15pt;height:19.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3600" behindDoc="0" locked="0" layoutInCell="1" allowOverlap="1" wp14:anchorId="7137096D" wp14:editId="5938275B">
                <wp:simplePos x="0" y="0"/>
                <wp:positionH relativeFrom="column">
                  <wp:posOffset>3810000</wp:posOffset>
                </wp:positionH>
                <wp:positionV relativeFrom="paragraph">
                  <wp:posOffset>193675</wp:posOffset>
                </wp:positionV>
                <wp:extent cx="494665" cy="873125"/>
                <wp:effectExtent l="0" t="0" r="57785" b="60325"/>
                <wp:wrapNone/>
                <wp:docPr id="2048" name="Straight Arrow Connector 2048"/>
                <wp:cNvGraphicFramePr/>
                <a:graphic xmlns:a="http://schemas.openxmlformats.org/drawingml/2006/main">
                  <a:graphicData uri="http://schemas.microsoft.com/office/word/2010/wordprocessingShape">
                    <wps:wsp>
                      <wps:cNvCnPr/>
                      <wps:spPr>
                        <a:xfrm>
                          <a:off x="0" y="0"/>
                          <a:ext cx="494665" cy="873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DC4F1AF" id="Straight Arrow Connector 2048" o:spid="_x0000_s1026" type="#_x0000_t32" style="position:absolute;margin-left:300pt;margin-top:15.25pt;width:38.95pt;height:6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2576" behindDoc="0" locked="0" layoutInCell="1" allowOverlap="1" wp14:anchorId="2FAB3024" wp14:editId="1ECF4476">
                <wp:simplePos x="0" y="0"/>
                <wp:positionH relativeFrom="column">
                  <wp:posOffset>3442855</wp:posOffset>
                </wp:positionH>
                <wp:positionV relativeFrom="paragraph">
                  <wp:posOffset>193964</wp:posOffset>
                </wp:positionV>
                <wp:extent cx="103331" cy="248920"/>
                <wp:effectExtent l="0" t="0" r="68580" b="55880"/>
                <wp:wrapNone/>
                <wp:docPr id="31" name="Straight Arrow Connector 31"/>
                <wp:cNvGraphicFramePr/>
                <a:graphic xmlns:a="http://schemas.openxmlformats.org/drawingml/2006/main">
                  <a:graphicData uri="http://schemas.microsoft.com/office/word/2010/wordprocessingShape">
                    <wps:wsp>
                      <wps:cNvCnPr/>
                      <wps:spPr>
                        <a:xfrm>
                          <a:off x="0" y="0"/>
                          <a:ext cx="103331" cy="2489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382496A" id="Straight Arrow Connector 31" o:spid="_x0000_s1026" type="#_x0000_t32" style="position:absolute;margin-left:271.1pt;margin-top:15.25pt;width:8.15pt;height:19.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1552" behindDoc="0" locked="0" layoutInCell="1" allowOverlap="1" wp14:anchorId="14172006" wp14:editId="1E5B251A">
                <wp:simplePos x="0" y="0"/>
                <wp:positionH relativeFrom="column">
                  <wp:posOffset>2618105</wp:posOffset>
                </wp:positionH>
                <wp:positionV relativeFrom="paragraph">
                  <wp:posOffset>193675</wp:posOffset>
                </wp:positionV>
                <wp:extent cx="262890" cy="414655"/>
                <wp:effectExtent l="0" t="0" r="60960" b="61595"/>
                <wp:wrapNone/>
                <wp:docPr id="30" name="Straight Arrow Connector 30"/>
                <wp:cNvGraphicFramePr/>
                <a:graphic xmlns:a="http://schemas.openxmlformats.org/drawingml/2006/main">
                  <a:graphicData uri="http://schemas.microsoft.com/office/word/2010/wordprocessingShape">
                    <wps:wsp>
                      <wps:cNvCnPr/>
                      <wps:spPr>
                        <a:xfrm>
                          <a:off x="0" y="0"/>
                          <a:ext cx="262890" cy="414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F5C3C5C" id="Straight Arrow Connector 30" o:spid="_x0000_s1026" type="#_x0000_t32" style="position:absolute;margin-left:206.15pt;margin-top:15.25pt;width:20.7pt;height:3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0528" behindDoc="0" locked="0" layoutInCell="1" allowOverlap="1" wp14:anchorId="79174516" wp14:editId="417A38BB">
                <wp:simplePos x="0" y="0"/>
                <wp:positionH relativeFrom="column">
                  <wp:posOffset>1398905</wp:posOffset>
                </wp:positionH>
                <wp:positionV relativeFrom="paragraph">
                  <wp:posOffset>228600</wp:posOffset>
                </wp:positionV>
                <wp:extent cx="604520" cy="490220"/>
                <wp:effectExtent l="0" t="0" r="81280" b="62230"/>
                <wp:wrapNone/>
                <wp:docPr id="29" name="Straight Arrow Connector 29"/>
                <wp:cNvGraphicFramePr/>
                <a:graphic xmlns:a="http://schemas.openxmlformats.org/drawingml/2006/main">
                  <a:graphicData uri="http://schemas.microsoft.com/office/word/2010/wordprocessingShape">
                    <wps:wsp>
                      <wps:cNvCnPr/>
                      <wps:spPr>
                        <a:xfrm>
                          <a:off x="0" y="0"/>
                          <a:ext cx="604520" cy="4902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81A4130" id="Straight Arrow Connector 29" o:spid="_x0000_s1026" type="#_x0000_t32" style="position:absolute;margin-left:110.15pt;margin-top:18pt;width:47.6pt;height:38.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69504" behindDoc="0" locked="0" layoutInCell="1" allowOverlap="1" wp14:anchorId="0963FDA5" wp14:editId="3FC62176">
                <wp:simplePos x="0" y="0"/>
                <wp:positionH relativeFrom="column">
                  <wp:posOffset>951230</wp:posOffset>
                </wp:positionH>
                <wp:positionV relativeFrom="paragraph">
                  <wp:posOffset>151130</wp:posOffset>
                </wp:positionV>
                <wp:extent cx="68580" cy="205740"/>
                <wp:effectExtent l="19050" t="0" r="64770" b="60960"/>
                <wp:wrapNone/>
                <wp:docPr id="28" name="Straight Arrow Connector 28"/>
                <wp:cNvGraphicFramePr/>
                <a:graphic xmlns:a="http://schemas.openxmlformats.org/drawingml/2006/main">
                  <a:graphicData uri="http://schemas.microsoft.com/office/word/2010/wordprocessingShape">
                    <wps:wsp>
                      <wps:cNvCnPr/>
                      <wps:spPr>
                        <a:xfrm>
                          <a:off x="0" y="0"/>
                          <a:ext cx="68580" cy="2057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3168E4B" id="Straight Arrow Connector 28" o:spid="_x0000_s1026" type="#_x0000_t32" style="position:absolute;margin-left:74.9pt;margin-top:11.9pt;width:5.4pt;height:16.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68480" behindDoc="0" locked="0" layoutInCell="1" allowOverlap="1" wp14:anchorId="42AFC3A4" wp14:editId="6BF15353">
                <wp:simplePos x="0" y="0"/>
                <wp:positionH relativeFrom="column">
                  <wp:posOffset>4860290</wp:posOffset>
                </wp:positionH>
                <wp:positionV relativeFrom="paragraph">
                  <wp:posOffset>354330</wp:posOffset>
                </wp:positionV>
                <wp:extent cx="1463040" cy="1403985"/>
                <wp:effectExtent l="0" t="0" r="22860" b="2032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1403985"/>
                        </a:xfrm>
                        <a:prstGeom prst="rect">
                          <a:avLst/>
                        </a:prstGeom>
                        <a:solidFill>
                          <a:srgbClr val="FFFFFF"/>
                        </a:solidFill>
                        <a:ln w="9525">
                          <a:solidFill>
                            <a:srgbClr val="000000"/>
                          </a:solidFill>
                          <a:miter lim="800000"/>
                          <a:headEnd/>
                          <a:tailEnd/>
                        </a:ln>
                      </wps:spPr>
                      <wps:txbx>
                        <w:txbxContent>
                          <w:p w14:paraId="1610A435" w14:textId="77777777" w:rsidR="00230BFA" w:rsidRDefault="00230BFA" w:rsidP="00464F27">
                            <w:pPr>
                              <w:rPr>
                                <w:sz w:val="16"/>
                                <w:szCs w:val="16"/>
                              </w:rPr>
                            </w:pPr>
                            <w:r w:rsidRPr="009703B1">
                              <w:rPr>
                                <w:b/>
                                <w:sz w:val="16"/>
                                <w:szCs w:val="16"/>
                              </w:rPr>
                              <w:t>GR</w:t>
                            </w:r>
                            <w:r>
                              <w:rPr>
                                <w:sz w:val="16"/>
                                <w:szCs w:val="16"/>
                              </w:rPr>
                              <w:t xml:space="preserve"> if Cons level = CONS</w:t>
                            </w:r>
                          </w:p>
                          <w:p w14:paraId="17784971" w14:textId="77777777" w:rsidR="00230BFA" w:rsidRPr="00A10F71" w:rsidRDefault="00230BFA" w:rsidP="00464F27">
                            <w:pPr>
                              <w:rPr>
                                <w:sz w:val="16"/>
                                <w:szCs w:val="16"/>
                              </w:rPr>
                            </w:pPr>
                            <w:r w:rsidRPr="009703B1">
                              <w:rPr>
                                <w:b/>
                                <w:sz w:val="16"/>
                                <w:szCs w:val="16"/>
                              </w:rPr>
                              <w:t>CO</w:t>
                            </w:r>
                            <w:r>
                              <w:rPr>
                                <w:sz w:val="16"/>
                                <w:szCs w:val="16"/>
                              </w:rPr>
                              <w:t xml:space="preserve"> if Cons level = SOLO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82.7pt;margin-top:27.9pt;width:115.2pt;height:110.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">
                <v:textbox style="mso-fit-shape-to-text:t">
                  <w:txbxContent>
                    <w:p w14:paraId="1610A435" w14:textId="77777777" w:rsidR="00230BFA" w:rsidRDefault="00230BFA" w:rsidP="00464F27">
                      <w:pPr>
                        <w:rPr>
                          <w:sz w:val="16"/>
                          <w:szCs w:val="16"/>
                        </w:rPr>
                      </w:pPr>
                      <w:r w:rsidRPr="009703B1">
                        <w:rPr>
                          <w:b/>
                          <w:sz w:val="16"/>
                          <w:szCs w:val="16"/>
                        </w:rPr>
                        <w:t>GR</w:t>
                      </w:r>
                      <w:r>
                        <w:rPr>
                          <w:sz w:val="16"/>
                          <w:szCs w:val="16"/>
                        </w:rPr>
                        <w:t xml:space="preserve"> if Cons level = CONS</w:t>
                      </w:r>
                    </w:p>
                    <w:p w14:paraId="17784971" w14:textId="77777777" w:rsidR="00230BFA" w:rsidRPr="00A10F71" w:rsidRDefault="00230BFA" w:rsidP="00464F27">
                      <w:pPr>
                        <w:rPr>
                          <w:sz w:val="16"/>
                          <w:szCs w:val="16"/>
                        </w:rPr>
                      </w:pPr>
                      <w:r w:rsidRPr="009703B1">
                        <w:rPr>
                          <w:b/>
                          <w:sz w:val="16"/>
                          <w:szCs w:val="16"/>
                        </w:rPr>
                        <w:t>CO</w:t>
                      </w:r>
                      <w:r>
                        <w:rPr>
                          <w:sz w:val="16"/>
                          <w:szCs w:val="16"/>
                        </w:rPr>
                        <w:t xml:space="preserve"> if Cons level = SOLO </w:t>
                      </w:r>
                    </w:p>
                  </w:txbxContent>
                </v:textbox>
              </v:shape>
            </w:pict>
          </mc:Fallback>
        </mc:AlternateContent>
      </w:r>
      <w:r w:rsidRPr="001D45E4">
        <w:rPr>
          <w:rFonts w:cs="Arial"/>
          <w:b/>
          <w:noProof/>
          <w:lang w:eastAsia="en-GB"/>
        </w:rPr>
        <mc:AlternateContent>
          <mc:Choice Requires="wps">
            <w:drawing>
              <wp:anchor distT="0" distB="0" distL="114300" distR="114300" simplePos="0" relativeHeight="251661312" behindDoc="0" locked="0" layoutInCell="1" allowOverlap="1" wp14:anchorId="7C4591CB" wp14:editId="79E5D6A2">
                <wp:simplePos x="0" y="0"/>
                <wp:positionH relativeFrom="column">
                  <wp:posOffset>448310</wp:posOffset>
                </wp:positionH>
                <wp:positionV relativeFrom="paragraph">
                  <wp:posOffset>135890</wp:posOffset>
                </wp:positionV>
                <wp:extent cx="327660" cy="1028700"/>
                <wp:effectExtent l="0" t="0" r="72390" b="57150"/>
                <wp:wrapNone/>
                <wp:docPr id="17" name="Straight Arrow Connector 17"/>
                <wp:cNvGraphicFramePr/>
                <a:graphic xmlns:a="http://schemas.openxmlformats.org/drawingml/2006/main">
                  <a:graphicData uri="http://schemas.microsoft.com/office/word/2010/wordprocessingShape">
                    <wps:wsp>
                      <wps:cNvCnPr/>
                      <wps:spPr>
                        <a:xfrm>
                          <a:off x="0" y="0"/>
                          <a:ext cx="327660" cy="1028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441C869" id="Straight Arrow Connector 17" o:spid="_x0000_s1026" type="#_x0000_t32" style="position:absolute;margin-left:35.3pt;margin-top:10.7pt;width:25.8pt;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" strokecolor="#4579b8 [3044]">
                <v:stroke endarrow="open"/>
              </v:shape>
            </w:pict>
          </mc:Fallback>
        </mc:AlternateContent>
      </w:r>
      <w:r w:rsidRPr="001D45E4">
        <w:rPr>
          <w:rFonts w:cs="Arial"/>
          <w:b/>
        </w:rPr>
        <w:t>C_</w:t>
      </w:r>
      <w:r>
        <w:rPr>
          <w:rFonts w:cs="Arial"/>
          <w:b/>
        </w:rPr>
        <w:t>SSMC19</w:t>
      </w:r>
      <w:r w:rsidRPr="001D45E4">
        <w:rPr>
          <w:rFonts w:cs="Arial"/>
          <w:b/>
        </w:rPr>
        <w:t>_</w:t>
      </w:r>
      <w:r>
        <w:rPr>
          <w:rFonts w:cs="Arial"/>
          <w:b/>
        </w:rPr>
        <w:t>JUN20</w:t>
      </w:r>
      <w:r w:rsidRPr="001D45E4">
        <w:rPr>
          <w:rFonts w:cs="Arial"/>
          <w:b/>
        </w:rPr>
        <w:t>_</w:t>
      </w:r>
      <w:r w:rsidR="0063515A">
        <w:rPr>
          <w:rFonts w:cs="Arial"/>
          <w:b/>
        </w:rPr>
        <w:t>MARKET</w:t>
      </w:r>
      <w:r>
        <w:rPr>
          <w:rFonts w:cs="Arial"/>
          <w:b/>
        </w:rPr>
        <w:t>_1234F67890A5CDEFGHT0_20200630</w:t>
      </w:r>
      <w:r w:rsidRPr="001D45E4">
        <w:rPr>
          <w:rFonts w:cs="Arial"/>
          <w:b/>
        </w:rPr>
        <w:t>_1_CO.xlsx</w:t>
      </w:r>
    </w:p>
    <w:p w14:paraId="38A5AA63" w14:textId="001327AD"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63360" behindDoc="0" locked="0" layoutInCell="1" allowOverlap="1" wp14:anchorId="50974E57" wp14:editId="2BFD632D">
                <wp:simplePos x="0" y="0"/>
                <wp:positionH relativeFrom="column">
                  <wp:posOffset>730250</wp:posOffset>
                </wp:positionH>
                <wp:positionV relativeFrom="paragraph">
                  <wp:posOffset>69792</wp:posOffset>
                </wp:positionV>
                <wp:extent cx="731520" cy="331470"/>
                <wp:effectExtent l="0" t="0" r="11430" b="1143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1470"/>
                        </a:xfrm>
                        <a:prstGeom prst="rect">
                          <a:avLst/>
                        </a:prstGeom>
                        <a:solidFill>
                          <a:srgbClr val="FFFFFF"/>
                        </a:solidFill>
                        <a:ln w="9525">
                          <a:solidFill>
                            <a:srgbClr val="000000"/>
                          </a:solidFill>
                          <a:miter lim="800000"/>
                          <a:headEnd/>
                          <a:tailEnd/>
                        </a:ln>
                      </wps:spPr>
                      <wps:txbx>
                        <w:txbxContent>
                          <w:p w14:paraId="778BBF8C" w14:textId="6120F6E6" w:rsidR="00230BFA" w:rsidRDefault="00230BFA" w:rsidP="00464F27">
                            <w:pPr>
                              <w:jc w:val="center"/>
                              <w:rPr>
                                <w:sz w:val="16"/>
                                <w:szCs w:val="16"/>
                              </w:rPr>
                            </w:pPr>
                            <w:r>
                              <w:rPr>
                                <w:sz w:val="16"/>
                                <w:szCs w:val="16"/>
                              </w:rPr>
                              <w:t>Cycle Name</w:t>
                            </w:r>
                          </w:p>
                          <w:p w14:paraId="64B3CF34" w14:textId="77777777" w:rsidR="00230BFA" w:rsidRDefault="00230BFA" w:rsidP="00464F27">
                            <w:pPr>
                              <w:jc w:val="center"/>
                              <w:rPr>
                                <w:sz w:val="16"/>
                                <w:szCs w:val="16"/>
                              </w:rPr>
                            </w:pPr>
                          </w:p>
                          <w:p w14:paraId="095A351A" w14:textId="77777777" w:rsidR="00230BFA" w:rsidRDefault="00230BFA" w:rsidP="00464F27">
                            <w:pPr>
                              <w:jc w:val="center"/>
                              <w:rPr>
                                <w:sz w:val="16"/>
                                <w:szCs w:val="16"/>
                              </w:rPr>
                            </w:pPr>
                          </w:p>
                          <w:p w14:paraId="7493E767" w14:textId="7423B941" w:rsidR="00230BFA" w:rsidRPr="00A10F71" w:rsidRDefault="00230BFA" w:rsidP="00464F27">
                            <w:pPr>
                              <w:jc w:val="cente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7.5pt;margin-top:5.5pt;width:57.6pt;height:2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">
                <v:textbox>
                  <w:txbxContent>
                    <w:p w14:paraId="778BBF8C" w14:textId="6120F6E6" w:rsidR="00230BFA" w:rsidRDefault="00230BFA" w:rsidP="00464F27">
                      <w:pPr>
                        <w:jc w:val="center"/>
                        <w:rPr>
                          <w:sz w:val="16"/>
                          <w:szCs w:val="16"/>
                        </w:rPr>
                      </w:pPr>
                      <w:r>
                        <w:rPr>
                          <w:sz w:val="16"/>
                          <w:szCs w:val="16"/>
                        </w:rPr>
                        <w:t>Cycle Name</w:t>
                      </w:r>
                    </w:p>
                    <w:p w14:paraId="64B3CF34" w14:textId="77777777" w:rsidR="00230BFA" w:rsidRDefault="00230BFA" w:rsidP="00464F27">
                      <w:pPr>
                        <w:jc w:val="center"/>
                        <w:rPr>
                          <w:sz w:val="16"/>
                          <w:szCs w:val="16"/>
                        </w:rPr>
                      </w:pPr>
                    </w:p>
                    <w:p w14:paraId="095A351A" w14:textId="77777777" w:rsidR="00230BFA" w:rsidRDefault="00230BFA" w:rsidP="00464F27">
                      <w:pPr>
                        <w:jc w:val="center"/>
                        <w:rPr>
                          <w:sz w:val="16"/>
                          <w:szCs w:val="16"/>
                        </w:rPr>
                      </w:pPr>
                    </w:p>
                    <w:p w14:paraId="7493E767" w14:textId="7423B941" w:rsidR="00230BFA" w:rsidRPr="00A10F71" w:rsidRDefault="00230BFA" w:rsidP="00464F27">
                      <w:pPr>
                        <w:jc w:val="center"/>
                        <w:rPr>
                          <w:sz w:val="16"/>
                          <w:szCs w:val="16"/>
                        </w:rPr>
                      </w:pPr>
                    </w:p>
                  </w:txbxContent>
                </v:textbox>
              </v:shape>
            </w:pict>
          </mc:Fallback>
        </mc:AlternateContent>
      </w:r>
      <w:r w:rsidRPr="001D45E4">
        <w:rPr>
          <w:rFonts w:cs="Arial"/>
          <w:b/>
          <w:noProof/>
          <w:lang w:eastAsia="en-GB"/>
        </w:rPr>
        <mc:AlternateContent>
          <mc:Choice Requires="wps">
            <w:drawing>
              <wp:anchor distT="0" distB="0" distL="114300" distR="114300" simplePos="0" relativeHeight="251666432" behindDoc="0" locked="0" layoutInCell="1" allowOverlap="1" wp14:anchorId="67DD61E9" wp14:editId="5FCF38CD">
                <wp:simplePos x="0" y="0"/>
                <wp:positionH relativeFrom="column">
                  <wp:posOffset>3296285</wp:posOffset>
                </wp:positionH>
                <wp:positionV relativeFrom="paragraph">
                  <wp:posOffset>217170</wp:posOffset>
                </wp:positionV>
                <wp:extent cx="891540" cy="1403985"/>
                <wp:effectExtent l="0" t="0" r="22860" b="1079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1403985"/>
                        </a:xfrm>
                        <a:prstGeom prst="rect">
                          <a:avLst/>
                        </a:prstGeom>
                        <a:solidFill>
                          <a:srgbClr val="FFFFFF"/>
                        </a:solidFill>
                        <a:ln w="9525">
                          <a:solidFill>
                            <a:srgbClr val="000000"/>
                          </a:solidFill>
                          <a:miter lim="800000"/>
                          <a:headEnd/>
                          <a:tailEnd/>
                        </a:ln>
                      </wps:spPr>
                      <wps:txbx>
                        <w:txbxContent>
                          <w:p w14:paraId="7C801642" w14:textId="77777777" w:rsidR="00230BFA" w:rsidRPr="00A10F71" w:rsidRDefault="00230BFA" w:rsidP="00464F27">
                            <w:pPr>
                              <w:rPr>
                                <w:sz w:val="16"/>
                                <w:szCs w:val="16"/>
                              </w:rPr>
                            </w:pPr>
                            <w:r>
                              <w:rPr>
                                <w:sz w:val="16"/>
                                <w:szCs w:val="16"/>
                              </w:rPr>
                              <w:t xml:space="preserve">Reference date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259.55pt;margin-top:17.1pt;width:70.2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">
                <v:textbox style="mso-fit-shape-to-text:t">
                  <w:txbxContent>
                    <w:p w14:paraId="7C801642" w14:textId="77777777" w:rsidR="00230BFA" w:rsidRPr="00A10F71" w:rsidRDefault="00230BFA" w:rsidP="00464F27">
                      <w:pPr>
                        <w:rPr>
                          <w:sz w:val="16"/>
                          <w:szCs w:val="16"/>
                        </w:rPr>
                      </w:pPr>
                      <w:r>
                        <w:rPr>
                          <w:sz w:val="16"/>
                          <w:szCs w:val="16"/>
                        </w:rPr>
                        <w:t xml:space="preserve">Reference date </w:t>
                      </w:r>
                    </w:p>
                  </w:txbxContent>
                </v:textbox>
              </v:shape>
            </w:pict>
          </mc:Fallback>
        </mc:AlternateContent>
      </w:r>
    </w:p>
    <w:p w14:paraId="46866E0F" w14:textId="7D018513"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64384" behindDoc="0" locked="0" layoutInCell="1" allowOverlap="1" wp14:anchorId="22ED7DDD" wp14:editId="24D55D0F">
                <wp:simplePos x="0" y="0"/>
                <wp:positionH relativeFrom="column">
                  <wp:posOffset>1461770</wp:posOffset>
                </wp:positionH>
                <wp:positionV relativeFrom="paragraph">
                  <wp:posOffset>147955</wp:posOffset>
                </wp:positionV>
                <wp:extent cx="1021080" cy="1403985"/>
                <wp:effectExtent l="0" t="0" r="26670" b="1079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1403985"/>
                        </a:xfrm>
                        <a:prstGeom prst="rect">
                          <a:avLst/>
                        </a:prstGeom>
                        <a:solidFill>
                          <a:srgbClr val="FFFFFF"/>
                        </a:solidFill>
                        <a:ln w="9525">
                          <a:solidFill>
                            <a:srgbClr val="000000"/>
                          </a:solidFill>
                          <a:miter lim="800000"/>
                          <a:headEnd/>
                          <a:tailEnd/>
                        </a:ln>
                      </wps:spPr>
                      <wps:txbx>
                        <w:txbxContent>
                          <w:p w14:paraId="52D3E818" w14:textId="1986D632" w:rsidR="00230BFA" w:rsidRPr="00A10F71" w:rsidRDefault="00230BFA" w:rsidP="00464F27">
                            <w:pPr>
                              <w:rPr>
                                <w:sz w:val="16"/>
                                <w:szCs w:val="16"/>
                              </w:rPr>
                            </w:pPr>
                            <w:r>
                              <w:rPr>
                                <w:sz w:val="16"/>
                                <w:szCs w:val="16"/>
                              </w:rPr>
                              <w:t xml:space="preserve">Module Name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margin-left:115.1pt;margin-top:11.65pt;width:80.4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">
                <v:textbox style="mso-fit-shape-to-text:t">
                  <w:txbxContent>
                    <w:p w14:paraId="52D3E818" w14:textId="1986D632" w:rsidR="00230BFA" w:rsidRPr="00A10F71" w:rsidRDefault="00230BFA" w:rsidP="00464F27">
                      <w:pPr>
                        <w:rPr>
                          <w:sz w:val="16"/>
                          <w:szCs w:val="16"/>
                        </w:rPr>
                      </w:pPr>
                      <w:r>
                        <w:rPr>
                          <w:sz w:val="16"/>
                          <w:szCs w:val="16"/>
                        </w:rPr>
                        <w:t xml:space="preserve">Module Name </w:t>
                      </w:r>
                    </w:p>
                  </w:txbxContent>
                </v:textbox>
              </v:shape>
            </w:pict>
          </mc:Fallback>
        </mc:AlternateContent>
      </w:r>
      <w:r w:rsidRPr="001D45E4">
        <w:rPr>
          <w:rFonts w:cs="Arial"/>
          <w:b/>
          <w:noProof/>
          <w:lang w:eastAsia="en-GB"/>
        </w:rPr>
        <mc:AlternateContent>
          <mc:Choice Requires="wps">
            <w:drawing>
              <wp:anchor distT="0" distB="0" distL="114300" distR="114300" simplePos="0" relativeHeight="251665408" behindDoc="0" locked="0" layoutInCell="1" allowOverlap="1" wp14:anchorId="707B32A5" wp14:editId="3BBEC6ED">
                <wp:simplePos x="0" y="0"/>
                <wp:positionH relativeFrom="column">
                  <wp:posOffset>2581910</wp:posOffset>
                </wp:positionH>
                <wp:positionV relativeFrom="paragraph">
                  <wp:posOffset>43180</wp:posOffset>
                </wp:positionV>
                <wp:extent cx="678180" cy="1403985"/>
                <wp:effectExtent l="0" t="0" r="26670" b="1079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 cy="1403985"/>
                        </a:xfrm>
                        <a:prstGeom prst="rect">
                          <a:avLst/>
                        </a:prstGeom>
                        <a:solidFill>
                          <a:srgbClr val="FFFFFF"/>
                        </a:solidFill>
                        <a:ln w="9525">
                          <a:solidFill>
                            <a:srgbClr val="000000"/>
                          </a:solidFill>
                          <a:miter lim="800000"/>
                          <a:headEnd/>
                          <a:tailEnd/>
                        </a:ln>
                      </wps:spPr>
                      <wps:txbx>
                        <w:txbxContent>
                          <w:p w14:paraId="13790B8C" w14:textId="77777777" w:rsidR="00230BFA" w:rsidRPr="00A10F71" w:rsidRDefault="00230BFA" w:rsidP="00464F27">
                            <w:pPr>
                              <w:rPr>
                                <w:sz w:val="16"/>
                                <w:szCs w:val="16"/>
                              </w:rPr>
                            </w:pPr>
                            <w:r>
                              <w:rPr>
                                <w:sz w:val="16"/>
                                <w:szCs w:val="16"/>
                              </w:rPr>
                              <w:t xml:space="preserve">LEI code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203.3pt;margin-top:3.4pt;width:53.4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">
                <v:textbox style="mso-fit-shape-to-text:t">
                  <w:txbxContent>
                    <w:p w14:paraId="13790B8C" w14:textId="77777777" w:rsidR="00230BFA" w:rsidRPr="00A10F71" w:rsidRDefault="00230BFA" w:rsidP="00464F27">
                      <w:pPr>
                        <w:rPr>
                          <w:sz w:val="16"/>
                          <w:szCs w:val="16"/>
                        </w:rPr>
                      </w:pPr>
                      <w:r>
                        <w:rPr>
                          <w:sz w:val="16"/>
                          <w:szCs w:val="16"/>
                        </w:rPr>
                        <w:t xml:space="preserve">LEI code </w:t>
                      </w:r>
                    </w:p>
                  </w:txbxContent>
                </v:textbox>
              </v:shape>
            </w:pict>
          </mc:Fallback>
        </mc:AlternateContent>
      </w:r>
    </w:p>
    <w:p w14:paraId="2E3903FA" w14:textId="14F18D0D"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67456" behindDoc="0" locked="0" layoutInCell="1" allowOverlap="1" wp14:anchorId="241694CF" wp14:editId="5B7D04F5">
                <wp:simplePos x="0" y="0"/>
                <wp:positionH relativeFrom="column">
                  <wp:posOffset>3670827</wp:posOffset>
                </wp:positionH>
                <wp:positionV relativeFrom="paragraph">
                  <wp:posOffset>93609</wp:posOffset>
                </wp:positionV>
                <wp:extent cx="1280160" cy="1403985"/>
                <wp:effectExtent l="0" t="0" r="15240" b="2794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1403985"/>
                        </a:xfrm>
                        <a:prstGeom prst="rect">
                          <a:avLst/>
                        </a:prstGeom>
                        <a:solidFill>
                          <a:srgbClr val="FFFFFF"/>
                        </a:solidFill>
                        <a:ln w="9525">
                          <a:solidFill>
                            <a:srgbClr val="000000"/>
                          </a:solidFill>
                          <a:miter lim="800000"/>
                          <a:headEnd/>
                          <a:tailEnd/>
                        </a:ln>
                      </wps:spPr>
                      <wps:txbx>
                        <w:txbxContent>
                          <w:p w14:paraId="4A5826BA" w14:textId="342CFE1E" w:rsidR="00230BFA" w:rsidRDefault="00230BFA">
                            <w:r>
                              <w:rPr>
                                <w:sz w:val="16"/>
                                <w:szCs w:val="16"/>
                              </w:rPr>
                              <w:t xml:space="preserve">Submission version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margin-left:289.05pt;margin-top:7.35pt;width:100.8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uAEJgIAAE0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">
                <v:textbox style="mso-fit-shape-to-text:t">
                  <w:txbxContent>
                    <w:p w14:paraId="4A5826BA" w14:textId="342CFE1E" w:rsidR="00230BFA" w:rsidRDefault="00230BFA">
                      <w:r>
                        <w:rPr>
                          <w:sz w:val="16"/>
                          <w:szCs w:val="16"/>
                        </w:rPr>
                        <w:t xml:space="preserve">Submission version </w:t>
                      </w:r>
                    </w:p>
                  </w:txbxContent>
                </v:textbox>
              </v:shape>
            </w:pict>
          </mc:Fallback>
        </mc:AlternateContent>
      </w:r>
      <w:r w:rsidRPr="001D45E4">
        <w:rPr>
          <w:rFonts w:cs="Arial"/>
          <w:b/>
          <w:noProof/>
          <w:lang w:eastAsia="en-GB"/>
        </w:rPr>
        <mc:AlternateContent>
          <mc:Choice Requires="wps">
            <w:drawing>
              <wp:anchor distT="0" distB="0" distL="114300" distR="114300" simplePos="0" relativeHeight="251662336" behindDoc="0" locked="0" layoutInCell="1" allowOverlap="1" wp14:anchorId="633DF39C" wp14:editId="5AB79D02">
                <wp:simplePos x="0" y="0"/>
                <wp:positionH relativeFrom="column">
                  <wp:posOffset>334010</wp:posOffset>
                </wp:positionH>
                <wp:positionV relativeFrom="paragraph">
                  <wp:posOffset>281940</wp:posOffset>
                </wp:positionV>
                <wp:extent cx="1021080" cy="1403985"/>
                <wp:effectExtent l="0" t="0" r="26670" b="2667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1403985"/>
                        </a:xfrm>
                        <a:prstGeom prst="rect">
                          <a:avLst/>
                        </a:prstGeom>
                        <a:solidFill>
                          <a:srgbClr val="FFFFFF"/>
                        </a:solidFill>
                        <a:ln w="9525">
                          <a:solidFill>
                            <a:srgbClr val="000000"/>
                          </a:solidFill>
                          <a:miter lim="800000"/>
                          <a:headEnd/>
                          <a:tailEnd/>
                        </a:ln>
                      </wps:spPr>
                      <wps:txbx>
                        <w:txbxContent>
                          <w:p w14:paraId="4EA95500" w14:textId="77777777" w:rsidR="00230BFA" w:rsidRPr="00A10F71" w:rsidRDefault="00230BFA" w:rsidP="00464F27">
                            <w:pPr>
                              <w:rPr>
                                <w:sz w:val="16"/>
                                <w:szCs w:val="16"/>
                              </w:rPr>
                            </w:pPr>
                            <w:r>
                              <w:rPr>
                                <w:sz w:val="16"/>
                                <w:szCs w:val="16"/>
                              </w:rPr>
                              <w:t xml:space="preserve">Collection name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margin-left:26.3pt;margin-top:22.2pt;width:80.4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">
                <v:textbox style="mso-fit-shape-to-text:t">
                  <w:txbxContent>
                    <w:p w14:paraId="4EA95500" w14:textId="77777777" w:rsidR="00230BFA" w:rsidRPr="00A10F71" w:rsidRDefault="00230BFA" w:rsidP="00464F27">
                      <w:pPr>
                        <w:rPr>
                          <w:sz w:val="16"/>
                          <w:szCs w:val="16"/>
                        </w:rPr>
                      </w:pPr>
                      <w:r>
                        <w:rPr>
                          <w:sz w:val="16"/>
                          <w:szCs w:val="16"/>
                        </w:rPr>
                        <w:t xml:space="preserve">Collection name </w:t>
                      </w:r>
                    </w:p>
                  </w:txbxContent>
                </v:textbox>
              </v:shape>
            </w:pict>
          </mc:Fallback>
        </mc:AlternateContent>
      </w:r>
    </w:p>
    <w:p w14:paraId="6C7D206C" w14:textId="77777777" w:rsidR="00997A87" w:rsidRDefault="00997A87" w:rsidP="00997A87">
      <w:pPr>
        <w:jc w:val="center"/>
        <w:rPr>
          <w:rFonts w:ascii="Arial" w:eastAsia="Times New Roman" w:hAnsi="Arial" w:cs="Arial"/>
          <w:b/>
          <w:sz w:val="20"/>
          <w:szCs w:val="20"/>
          <w:u w:val="single"/>
        </w:rPr>
      </w:pPr>
    </w:p>
    <w:p w14:paraId="0E14115B" w14:textId="77777777" w:rsidR="0063515A" w:rsidRDefault="0063515A" w:rsidP="00997A87">
      <w:pPr>
        <w:jc w:val="center"/>
        <w:rPr>
          <w:rFonts w:ascii="Arial" w:eastAsia="Times New Roman" w:hAnsi="Arial" w:cs="Arial"/>
          <w:b/>
          <w:sz w:val="20"/>
          <w:szCs w:val="20"/>
          <w:u w:val="single"/>
        </w:rPr>
      </w:pPr>
    </w:p>
    <w:p w14:paraId="32EA88C8" w14:textId="1846E46D" w:rsidR="0063515A" w:rsidRDefault="0063515A" w:rsidP="0035689D">
      <w:pPr>
        <w:jc w:val="both"/>
        <w:rPr>
          <w:rFonts w:ascii="Arial" w:eastAsia="Times New Roman" w:hAnsi="Arial" w:cs="Arial"/>
          <w:sz w:val="20"/>
          <w:szCs w:val="20"/>
        </w:rPr>
      </w:pPr>
      <w:r>
        <w:rPr>
          <w:rFonts w:ascii="Arial" w:eastAsia="Times New Roman" w:hAnsi="Arial" w:cs="Arial"/>
          <w:sz w:val="20"/>
          <w:szCs w:val="20"/>
        </w:rPr>
        <w:t xml:space="preserve">So the above </w:t>
      </w:r>
      <w:r w:rsidRPr="00C847DA">
        <w:rPr>
          <w:rFonts w:ascii="Arial" w:eastAsia="Times New Roman" w:hAnsi="Arial" w:cs="Arial"/>
          <w:sz w:val="20"/>
          <w:szCs w:val="20"/>
        </w:rPr>
        <w:t>example</w:t>
      </w:r>
      <w:r>
        <w:rPr>
          <w:rFonts w:ascii="Arial" w:eastAsia="Times New Roman" w:hAnsi="Arial" w:cs="Arial"/>
          <w:sz w:val="20"/>
          <w:szCs w:val="20"/>
        </w:rPr>
        <w:t xml:space="preserve"> is the 1st submission of the </w:t>
      </w:r>
      <w:r w:rsidR="00C847DA">
        <w:rPr>
          <w:rFonts w:ascii="Arial" w:eastAsia="Times New Roman" w:hAnsi="Arial" w:cs="Arial"/>
          <w:sz w:val="20"/>
          <w:szCs w:val="20"/>
        </w:rPr>
        <w:t xml:space="preserve">COVID-19 </w:t>
      </w:r>
      <w:r>
        <w:rPr>
          <w:rFonts w:ascii="Arial" w:eastAsia="Times New Roman" w:hAnsi="Arial" w:cs="Arial"/>
          <w:sz w:val="20"/>
          <w:szCs w:val="20"/>
        </w:rPr>
        <w:t xml:space="preserve">Market template of Institution with LEI Code </w:t>
      </w:r>
      <w:r w:rsidRPr="0063515A">
        <w:rPr>
          <w:rFonts w:ascii="Arial" w:eastAsia="Times New Roman" w:hAnsi="Arial" w:cs="Arial"/>
          <w:sz w:val="20"/>
          <w:szCs w:val="20"/>
        </w:rPr>
        <w:t>1234F67890A5CDEFGHT0</w:t>
      </w:r>
      <w:r>
        <w:rPr>
          <w:rFonts w:ascii="Arial" w:eastAsia="Times New Roman" w:hAnsi="Arial" w:cs="Arial"/>
          <w:sz w:val="20"/>
          <w:szCs w:val="20"/>
        </w:rPr>
        <w:t xml:space="preserve"> at SOLO consolidation level for Reference date 30/06/2020.</w:t>
      </w:r>
    </w:p>
    <w:p w14:paraId="1D1A058F" w14:textId="44FF1AE6" w:rsidR="0063515A" w:rsidRPr="0035689D" w:rsidRDefault="0063515A" w:rsidP="0035689D">
      <w:pPr>
        <w:jc w:val="both"/>
        <w:rPr>
          <w:rFonts w:ascii="Arial" w:eastAsia="Times New Roman" w:hAnsi="Arial" w:cs="Arial"/>
          <w:sz w:val="20"/>
          <w:szCs w:val="20"/>
        </w:rPr>
      </w:pPr>
      <w:r>
        <w:rPr>
          <w:rFonts w:ascii="Arial" w:eastAsia="Times New Roman" w:hAnsi="Arial" w:cs="Arial"/>
          <w:sz w:val="20"/>
          <w:szCs w:val="20"/>
        </w:rPr>
        <w:t>Analytically:</w:t>
      </w:r>
    </w:p>
    <w:p w14:paraId="4B18F8AE" w14:textId="5CE78DB0" w:rsidR="00464F27" w:rsidRDefault="0028452B" w:rsidP="0035689D">
      <w:pPr>
        <w:pStyle w:val="ListParagraph"/>
        <w:numPr>
          <w:ilvl w:val="0"/>
          <w:numId w:val="46"/>
        </w:numPr>
        <w:jc w:val="both"/>
        <w:rPr>
          <w:rFonts w:ascii="Arial" w:eastAsia="Times New Roman" w:hAnsi="Arial" w:cs="Arial"/>
          <w:bCs/>
          <w:color w:val="000000"/>
          <w:sz w:val="20"/>
          <w:szCs w:val="20"/>
          <w:lang w:eastAsia="en-GB"/>
        </w:rPr>
      </w:pPr>
      <w:r>
        <w:rPr>
          <w:rFonts w:ascii="Arial" w:hAnsi="Arial" w:cs="Arial"/>
          <w:b/>
          <w:sz w:val="20"/>
          <w:szCs w:val="20"/>
        </w:rPr>
        <w:t>Collection</w:t>
      </w:r>
      <w:r w:rsidR="00B659CE">
        <w:rPr>
          <w:rFonts w:ascii="Arial" w:hAnsi="Arial" w:cs="Arial"/>
          <w:b/>
          <w:sz w:val="20"/>
          <w:szCs w:val="20"/>
        </w:rPr>
        <w:t xml:space="preserve"> </w:t>
      </w:r>
      <w:r>
        <w:rPr>
          <w:rFonts w:ascii="Arial" w:hAnsi="Arial" w:cs="Arial"/>
          <w:b/>
          <w:sz w:val="20"/>
          <w:szCs w:val="20"/>
        </w:rPr>
        <w:t xml:space="preserve">Name </w:t>
      </w:r>
      <w:r w:rsidRPr="0035689D">
        <w:rPr>
          <w:rFonts w:ascii="Arial" w:eastAsia="Times New Roman" w:hAnsi="Arial" w:cs="Arial"/>
          <w:bCs/>
          <w:color w:val="000000"/>
          <w:sz w:val="20"/>
          <w:szCs w:val="20"/>
          <w:lang w:eastAsia="en-GB"/>
        </w:rPr>
        <w:t>should always be SSMC19</w:t>
      </w:r>
    </w:p>
    <w:p w14:paraId="23D0C7F6" w14:textId="72B5E3BD" w:rsidR="0028452B" w:rsidRDefault="0028452B" w:rsidP="0035689D">
      <w:pPr>
        <w:pStyle w:val="ListParagraph"/>
        <w:numPr>
          <w:ilvl w:val="0"/>
          <w:numId w:val="46"/>
        </w:numPr>
        <w:jc w:val="both"/>
        <w:rPr>
          <w:rFonts w:ascii="Arial" w:eastAsia="Times New Roman" w:hAnsi="Arial" w:cs="Arial"/>
          <w:bCs/>
          <w:color w:val="000000"/>
          <w:sz w:val="20"/>
          <w:szCs w:val="20"/>
          <w:lang w:eastAsia="en-GB"/>
        </w:rPr>
      </w:pPr>
      <w:r>
        <w:rPr>
          <w:rFonts w:ascii="Arial" w:hAnsi="Arial" w:cs="Arial"/>
          <w:b/>
          <w:sz w:val="20"/>
          <w:szCs w:val="20"/>
        </w:rPr>
        <w:t>Cycle</w:t>
      </w:r>
      <w:r w:rsidR="00B659CE">
        <w:rPr>
          <w:rFonts w:ascii="Arial" w:hAnsi="Arial" w:cs="Arial"/>
          <w:b/>
          <w:sz w:val="20"/>
          <w:szCs w:val="20"/>
        </w:rPr>
        <w:t xml:space="preserve"> </w:t>
      </w:r>
      <w:r>
        <w:rPr>
          <w:rFonts w:ascii="Arial" w:hAnsi="Arial" w:cs="Arial"/>
          <w:b/>
          <w:sz w:val="20"/>
          <w:szCs w:val="20"/>
        </w:rPr>
        <w:t xml:space="preserve">Name </w:t>
      </w:r>
      <w:r w:rsidRPr="0035689D">
        <w:rPr>
          <w:rFonts w:ascii="Arial" w:eastAsia="Times New Roman" w:hAnsi="Arial" w:cs="Arial"/>
          <w:bCs/>
          <w:color w:val="000000"/>
          <w:sz w:val="20"/>
          <w:szCs w:val="20"/>
          <w:lang w:eastAsia="en-GB"/>
        </w:rPr>
        <w:t>should be expressing month,</w:t>
      </w:r>
      <w:r w:rsidR="00C847DA">
        <w:rPr>
          <w:rFonts w:ascii="Arial" w:eastAsia="Times New Roman" w:hAnsi="Arial" w:cs="Arial"/>
          <w:bCs/>
          <w:color w:val="000000"/>
          <w:sz w:val="20"/>
          <w:szCs w:val="20"/>
          <w:lang w:eastAsia="en-GB"/>
        </w:rPr>
        <w:t xml:space="preserve"> </w:t>
      </w:r>
      <w:r w:rsidRPr="0035689D">
        <w:rPr>
          <w:rFonts w:ascii="Arial" w:eastAsia="Times New Roman" w:hAnsi="Arial" w:cs="Arial"/>
          <w:bCs/>
          <w:color w:val="000000"/>
          <w:sz w:val="20"/>
          <w:szCs w:val="20"/>
          <w:lang w:eastAsia="en-GB"/>
        </w:rPr>
        <w:t xml:space="preserve">year in the </w:t>
      </w:r>
      <w:proofErr w:type="spellStart"/>
      <w:r w:rsidRPr="0035689D">
        <w:rPr>
          <w:rFonts w:ascii="Arial" w:eastAsia="Times New Roman" w:hAnsi="Arial" w:cs="Arial"/>
          <w:bCs/>
          <w:color w:val="000000"/>
          <w:sz w:val="20"/>
          <w:szCs w:val="20"/>
          <w:lang w:eastAsia="en-GB"/>
        </w:rPr>
        <w:t>mmmyy</w:t>
      </w:r>
      <w:proofErr w:type="spellEnd"/>
      <w:r w:rsidRPr="0035689D">
        <w:rPr>
          <w:rFonts w:ascii="Arial" w:eastAsia="Times New Roman" w:hAnsi="Arial" w:cs="Arial"/>
          <w:bCs/>
          <w:color w:val="000000"/>
          <w:sz w:val="20"/>
          <w:szCs w:val="20"/>
          <w:lang w:eastAsia="en-GB"/>
        </w:rPr>
        <w:t xml:space="preserve"> format</w:t>
      </w:r>
      <w:r w:rsidR="00B659CE">
        <w:rPr>
          <w:rFonts w:ascii="Arial" w:eastAsia="Times New Roman" w:hAnsi="Arial" w:cs="Arial"/>
          <w:bCs/>
          <w:color w:val="000000"/>
          <w:sz w:val="20"/>
          <w:szCs w:val="20"/>
          <w:lang w:eastAsia="en-GB"/>
        </w:rPr>
        <w:t xml:space="preserve"> according to the table below:</w:t>
      </w:r>
    </w:p>
    <w:tbl>
      <w:tblPr>
        <w:tblpPr w:leftFromText="180" w:rightFromText="180" w:vertAnchor="text" w:horzAnchor="margin" w:tblpXSpec="center" w:tblpY="166"/>
        <w:tblW w:w="3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418"/>
      </w:tblGrid>
      <w:tr w:rsidR="00B659CE" w:rsidRPr="00B659CE" w14:paraId="2539D803" w14:textId="77777777" w:rsidTr="0035689D">
        <w:trPr>
          <w:trHeight w:val="300"/>
        </w:trPr>
        <w:tc>
          <w:tcPr>
            <w:tcW w:w="1716" w:type="dxa"/>
            <w:shd w:val="clear" w:color="auto" w:fill="auto"/>
            <w:noWrap/>
            <w:vAlign w:val="bottom"/>
          </w:tcPr>
          <w:p w14:paraId="0CEC0C6D" w14:textId="77777777" w:rsidR="00B659CE" w:rsidRPr="0035689D" w:rsidRDefault="00B659CE" w:rsidP="0035689D">
            <w:pPr>
              <w:spacing w:after="0" w:line="240" w:lineRule="auto"/>
              <w:jc w:val="both"/>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Reference Date</w:t>
            </w:r>
          </w:p>
        </w:tc>
        <w:tc>
          <w:tcPr>
            <w:tcW w:w="1418" w:type="dxa"/>
            <w:shd w:val="clear" w:color="auto" w:fill="auto"/>
            <w:noWrap/>
            <w:vAlign w:val="bottom"/>
          </w:tcPr>
          <w:p w14:paraId="56A579AD" w14:textId="77777777" w:rsidR="00B659CE" w:rsidRPr="0035689D" w:rsidRDefault="00B659CE" w:rsidP="0035689D">
            <w:pPr>
              <w:spacing w:after="0" w:line="240" w:lineRule="auto"/>
              <w:jc w:val="both"/>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Cycle Name</w:t>
            </w:r>
          </w:p>
        </w:tc>
      </w:tr>
      <w:tr w:rsidR="00B659CE" w:rsidRPr="00B659CE" w14:paraId="7BADD2AE" w14:textId="77777777" w:rsidTr="0035689D">
        <w:trPr>
          <w:trHeight w:val="300"/>
        </w:trPr>
        <w:tc>
          <w:tcPr>
            <w:tcW w:w="1716" w:type="dxa"/>
            <w:shd w:val="clear" w:color="auto" w:fill="auto"/>
            <w:noWrap/>
            <w:vAlign w:val="bottom"/>
            <w:hideMark/>
          </w:tcPr>
          <w:p w14:paraId="3720AFBA"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03</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7C0234BB"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MAR20</w:t>
            </w:r>
          </w:p>
        </w:tc>
      </w:tr>
      <w:tr w:rsidR="00B659CE" w:rsidRPr="00B659CE" w14:paraId="360BF6B0" w14:textId="77777777" w:rsidTr="0035689D">
        <w:trPr>
          <w:trHeight w:val="300"/>
        </w:trPr>
        <w:tc>
          <w:tcPr>
            <w:tcW w:w="1716" w:type="dxa"/>
            <w:shd w:val="clear" w:color="auto" w:fill="auto"/>
            <w:noWrap/>
            <w:vAlign w:val="bottom"/>
            <w:hideMark/>
          </w:tcPr>
          <w:p w14:paraId="56785ADD"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05</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6242C1A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MAY20</w:t>
            </w:r>
          </w:p>
        </w:tc>
      </w:tr>
      <w:tr w:rsidR="00B659CE" w:rsidRPr="00B659CE" w14:paraId="207C3CB1" w14:textId="77777777" w:rsidTr="0035689D">
        <w:trPr>
          <w:trHeight w:val="300"/>
        </w:trPr>
        <w:tc>
          <w:tcPr>
            <w:tcW w:w="1716" w:type="dxa"/>
            <w:shd w:val="clear" w:color="auto" w:fill="auto"/>
            <w:noWrap/>
            <w:vAlign w:val="bottom"/>
            <w:hideMark/>
          </w:tcPr>
          <w:p w14:paraId="0403A1AC"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06</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1A5DEDE5"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JUN20</w:t>
            </w:r>
          </w:p>
        </w:tc>
      </w:tr>
      <w:tr w:rsidR="00B659CE" w:rsidRPr="00B659CE" w14:paraId="3D221BE3" w14:textId="77777777" w:rsidTr="0035689D">
        <w:trPr>
          <w:trHeight w:val="300"/>
        </w:trPr>
        <w:tc>
          <w:tcPr>
            <w:tcW w:w="1716" w:type="dxa"/>
            <w:shd w:val="clear" w:color="auto" w:fill="auto"/>
            <w:noWrap/>
            <w:vAlign w:val="bottom"/>
            <w:hideMark/>
          </w:tcPr>
          <w:p w14:paraId="59310540"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07</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48A355DF"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JUL20</w:t>
            </w:r>
          </w:p>
        </w:tc>
      </w:tr>
      <w:tr w:rsidR="00B659CE" w:rsidRPr="00B659CE" w14:paraId="69729DE3" w14:textId="77777777" w:rsidTr="0035689D">
        <w:trPr>
          <w:trHeight w:val="300"/>
        </w:trPr>
        <w:tc>
          <w:tcPr>
            <w:tcW w:w="1716" w:type="dxa"/>
            <w:shd w:val="clear" w:color="auto" w:fill="auto"/>
            <w:noWrap/>
            <w:vAlign w:val="bottom"/>
            <w:hideMark/>
          </w:tcPr>
          <w:p w14:paraId="60949F11"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08</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40A73394"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AUG20</w:t>
            </w:r>
          </w:p>
        </w:tc>
      </w:tr>
      <w:tr w:rsidR="00B659CE" w:rsidRPr="00B659CE" w14:paraId="53640611" w14:textId="77777777" w:rsidTr="0035689D">
        <w:trPr>
          <w:trHeight w:val="300"/>
        </w:trPr>
        <w:tc>
          <w:tcPr>
            <w:tcW w:w="1716" w:type="dxa"/>
            <w:shd w:val="clear" w:color="auto" w:fill="auto"/>
            <w:noWrap/>
            <w:vAlign w:val="bottom"/>
            <w:hideMark/>
          </w:tcPr>
          <w:p w14:paraId="6D200798"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09</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00D0554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SEP20</w:t>
            </w:r>
          </w:p>
        </w:tc>
      </w:tr>
      <w:tr w:rsidR="00B659CE" w:rsidRPr="00B659CE" w14:paraId="3FF5214F" w14:textId="77777777" w:rsidTr="0035689D">
        <w:trPr>
          <w:trHeight w:val="300"/>
        </w:trPr>
        <w:tc>
          <w:tcPr>
            <w:tcW w:w="1716" w:type="dxa"/>
            <w:shd w:val="clear" w:color="auto" w:fill="auto"/>
            <w:noWrap/>
            <w:vAlign w:val="bottom"/>
            <w:hideMark/>
          </w:tcPr>
          <w:p w14:paraId="3F499763"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10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054194C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OCT20</w:t>
            </w:r>
          </w:p>
        </w:tc>
      </w:tr>
      <w:tr w:rsidR="00B659CE" w:rsidRPr="00B659CE" w14:paraId="4BFF66F4" w14:textId="77777777" w:rsidTr="0035689D">
        <w:trPr>
          <w:trHeight w:val="300"/>
        </w:trPr>
        <w:tc>
          <w:tcPr>
            <w:tcW w:w="1716" w:type="dxa"/>
            <w:shd w:val="clear" w:color="auto" w:fill="auto"/>
            <w:noWrap/>
            <w:vAlign w:val="bottom"/>
            <w:hideMark/>
          </w:tcPr>
          <w:p w14:paraId="3A0BA213"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11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6B558C97"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NOV20</w:t>
            </w:r>
          </w:p>
        </w:tc>
      </w:tr>
      <w:tr w:rsidR="00B659CE" w:rsidRPr="00B659CE" w14:paraId="664AF913" w14:textId="77777777" w:rsidTr="0035689D">
        <w:trPr>
          <w:trHeight w:val="300"/>
        </w:trPr>
        <w:tc>
          <w:tcPr>
            <w:tcW w:w="1716" w:type="dxa"/>
            <w:shd w:val="clear" w:color="auto" w:fill="auto"/>
            <w:noWrap/>
            <w:vAlign w:val="bottom"/>
            <w:hideMark/>
          </w:tcPr>
          <w:p w14:paraId="201D804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12</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26CECAE8"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DEC20</w:t>
            </w:r>
          </w:p>
        </w:tc>
      </w:tr>
    </w:tbl>
    <w:p w14:paraId="2BB60520" w14:textId="77777777" w:rsidR="0028452B" w:rsidRPr="0035689D" w:rsidRDefault="0028452B" w:rsidP="0035689D">
      <w:pPr>
        <w:pStyle w:val="ListParagraph"/>
        <w:jc w:val="both"/>
        <w:rPr>
          <w:rFonts w:ascii="Arial" w:eastAsia="Times New Roman" w:hAnsi="Arial" w:cs="Arial"/>
          <w:bCs/>
          <w:color w:val="000000"/>
          <w:sz w:val="20"/>
          <w:szCs w:val="20"/>
          <w:lang w:eastAsia="en-GB"/>
        </w:rPr>
      </w:pPr>
    </w:p>
    <w:p w14:paraId="6AC42473" w14:textId="77777777" w:rsidR="00FE6435" w:rsidRDefault="00FE6435" w:rsidP="0035689D">
      <w:pPr>
        <w:tabs>
          <w:tab w:val="left" w:pos="2065"/>
        </w:tabs>
        <w:jc w:val="both"/>
        <w:rPr>
          <w:rFonts w:ascii="Arial" w:hAnsi="Arial" w:cs="Arial"/>
          <w:sz w:val="20"/>
          <w:szCs w:val="20"/>
        </w:rPr>
      </w:pPr>
    </w:p>
    <w:p w14:paraId="01B74498" w14:textId="77777777" w:rsidR="00FE6435" w:rsidRDefault="00FE6435" w:rsidP="0035689D">
      <w:pPr>
        <w:tabs>
          <w:tab w:val="left" w:pos="2065"/>
        </w:tabs>
        <w:jc w:val="both"/>
        <w:rPr>
          <w:rFonts w:ascii="Arial" w:hAnsi="Arial" w:cs="Arial"/>
          <w:sz w:val="20"/>
          <w:szCs w:val="20"/>
        </w:rPr>
      </w:pPr>
    </w:p>
    <w:p w14:paraId="6ECF3596" w14:textId="77777777" w:rsidR="00FE6435" w:rsidRDefault="00FE6435" w:rsidP="0035689D">
      <w:pPr>
        <w:tabs>
          <w:tab w:val="left" w:pos="2065"/>
        </w:tabs>
        <w:jc w:val="both"/>
        <w:rPr>
          <w:rFonts w:ascii="Arial" w:hAnsi="Arial" w:cs="Arial"/>
          <w:sz w:val="20"/>
          <w:szCs w:val="20"/>
        </w:rPr>
      </w:pPr>
    </w:p>
    <w:p w14:paraId="1E47A871" w14:textId="77777777" w:rsidR="00FE6435" w:rsidRDefault="00FE6435" w:rsidP="0035689D">
      <w:pPr>
        <w:tabs>
          <w:tab w:val="left" w:pos="2065"/>
        </w:tabs>
        <w:jc w:val="both"/>
        <w:rPr>
          <w:rFonts w:ascii="Arial" w:hAnsi="Arial" w:cs="Arial"/>
          <w:sz w:val="20"/>
          <w:szCs w:val="20"/>
        </w:rPr>
      </w:pPr>
    </w:p>
    <w:p w14:paraId="3E15C580" w14:textId="77777777" w:rsidR="00FE6435" w:rsidRDefault="00FE6435" w:rsidP="0035689D">
      <w:pPr>
        <w:tabs>
          <w:tab w:val="left" w:pos="2065"/>
        </w:tabs>
        <w:jc w:val="both"/>
        <w:rPr>
          <w:rFonts w:ascii="Arial" w:hAnsi="Arial" w:cs="Arial"/>
          <w:sz w:val="20"/>
          <w:szCs w:val="20"/>
        </w:rPr>
      </w:pPr>
    </w:p>
    <w:p w14:paraId="6446A028" w14:textId="77777777" w:rsidR="00FE6435" w:rsidRDefault="00FE6435" w:rsidP="0035689D">
      <w:pPr>
        <w:tabs>
          <w:tab w:val="left" w:pos="2065"/>
        </w:tabs>
        <w:jc w:val="both"/>
        <w:rPr>
          <w:rFonts w:ascii="Arial" w:hAnsi="Arial" w:cs="Arial"/>
          <w:sz w:val="20"/>
          <w:szCs w:val="20"/>
        </w:rPr>
      </w:pPr>
    </w:p>
    <w:p w14:paraId="6B7F636D" w14:textId="13E7610B" w:rsidR="00B659CE" w:rsidRDefault="00B659CE" w:rsidP="0035689D">
      <w:pPr>
        <w:tabs>
          <w:tab w:val="left" w:pos="2065"/>
        </w:tabs>
        <w:jc w:val="both"/>
        <w:rPr>
          <w:rFonts w:ascii="Arial" w:hAnsi="Arial" w:cs="Arial"/>
          <w:sz w:val="20"/>
          <w:szCs w:val="20"/>
        </w:rPr>
      </w:pPr>
    </w:p>
    <w:p w14:paraId="11163966" w14:textId="19232B10" w:rsidR="00B659CE" w:rsidRDefault="00B659CE" w:rsidP="0035689D">
      <w:pPr>
        <w:pStyle w:val="ListParagraph"/>
        <w:numPr>
          <w:ilvl w:val="0"/>
          <w:numId w:val="47"/>
        </w:numPr>
        <w:tabs>
          <w:tab w:val="left" w:pos="2065"/>
        </w:tabs>
        <w:jc w:val="both"/>
        <w:rPr>
          <w:rFonts w:ascii="Arial" w:hAnsi="Arial" w:cs="Arial"/>
          <w:sz w:val="20"/>
          <w:szCs w:val="20"/>
        </w:rPr>
      </w:pPr>
      <w:r w:rsidRPr="0035689D">
        <w:rPr>
          <w:rFonts w:ascii="Arial" w:hAnsi="Arial" w:cs="Arial"/>
          <w:b/>
          <w:sz w:val="20"/>
          <w:szCs w:val="20"/>
        </w:rPr>
        <w:t>Module Name</w:t>
      </w:r>
      <w:r>
        <w:rPr>
          <w:rFonts w:ascii="Arial" w:hAnsi="Arial" w:cs="Arial"/>
          <w:sz w:val="20"/>
          <w:szCs w:val="20"/>
        </w:rPr>
        <w:t xml:space="preserve"> can take the following values:</w:t>
      </w:r>
    </w:p>
    <w:p w14:paraId="6145E394" w14:textId="5A155508"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t xml:space="preserve">OVERVIEW for the part </w:t>
      </w:r>
      <w:r w:rsidRPr="00DA7242">
        <w:rPr>
          <w:rFonts w:ascii="Arial" w:hAnsi="Arial" w:cs="Arial"/>
          <w:sz w:val="20"/>
          <w:szCs w:val="20"/>
        </w:rPr>
        <w:t>(A) Overview and Operatio</w:t>
      </w:r>
      <w:r>
        <w:rPr>
          <w:rFonts w:ascii="Arial" w:hAnsi="Arial" w:cs="Arial"/>
          <w:sz w:val="20"/>
          <w:szCs w:val="20"/>
        </w:rPr>
        <w:t>nal Continuity</w:t>
      </w:r>
    </w:p>
    <w:p w14:paraId="6221A423" w14:textId="6741B44F"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t xml:space="preserve">MORATORIA for </w:t>
      </w:r>
      <w:r w:rsidRPr="00B659CE">
        <w:rPr>
          <w:rFonts w:ascii="Arial" w:hAnsi="Arial" w:cs="Arial"/>
          <w:sz w:val="20"/>
          <w:szCs w:val="20"/>
        </w:rPr>
        <w:t>Information on Moratoria and State Guarantees</w:t>
      </w:r>
      <w:r>
        <w:rPr>
          <w:rFonts w:ascii="Arial" w:hAnsi="Arial" w:cs="Arial"/>
          <w:sz w:val="20"/>
          <w:szCs w:val="20"/>
        </w:rPr>
        <w:t xml:space="preserve"> of </w:t>
      </w:r>
      <w:r w:rsidRPr="00B659CE">
        <w:rPr>
          <w:rFonts w:ascii="Arial" w:hAnsi="Arial" w:cs="Arial"/>
          <w:sz w:val="20"/>
          <w:szCs w:val="20"/>
        </w:rPr>
        <w:t>(B) Credit Risk</w:t>
      </w:r>
    </w:p>
    <w:p w14:paraId="2AF412CD" w14:textId="3CA44EE6"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t>CREDIT for Information on Loans &amp;</w:t>
      </w:r>
      <w:r w:rsidRPr="00B659CE">
        <w:rPr>
          <w:rFonts w:ascii="Arial" w:hAnsi="Arial" w:cs="Arial"/>
          <w:sz w:val="20"/>
          <w:szCs w:val="20"/>
        </w:rPr>
        <w:t xml:space="preserve"> Advances</w:t>
      </w:r>
      <w:r>
        <w:rPr>
          <w:rFonts w:ascii="Arial" w:hAnsi="Arial" w:cs="Arial"/>
          <w:sz w:val="20"/>
          <w:szCs w:val="20"/>
        </w:rPr>
        <w:t xml:space="preserve"> and </w:t>
      </w:r>
      <w:r w:rsidRPr="00B659CE">
        <w:rPr>
          <w:rFonts w:ascii="Arial" w:hAnsi="Arial" w:cs="Arial"/>
          <w:sz w:val="20"/>
          <w:szCs w:val="20"/>
        </w:rPr>
        <w:t>Committed lines</w:t>
      </w:r>
      <w:r>
        <w:rPr>
          <w:rFonts w:ascii="Arial" w:hAnsi="Arial" w:cs="Arial"/>
          <w:sz w:val="20"/>
          <w:szCs w:val="20"/>
        </w:rPr>
        <w:t xml:space="preserve"> of </w:t>
      </w:r>
      <w:r w:rsidRPr="00464EB6">
        <w:rPr>
          <w:rFonts w:ascii="Arial" w:hAnsi="Arial" w:cs="Arial"/>
          <w:sz w:val="20"/>
          <w:szCs w:val="20"/>
        </w:rPr>
        <w:t>(B) Credit Risk</w:t>
      </w:r>
    </w:p>
    <w:p w14:paraId="63178A58" w14:textId="7F6BF503"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lastRenderedPageBreak/>
        <w:t>MARKET</w:t>
      </w:r>
      <w:r w:rsidRPr="00B659CE">
        <w:rPr>
          <w:rFonts w:ascii="Arial" w:hAnsi="Arial" w:cs="Arial"/>
          <w:sz w:val="20"/>
          <w:szCs w:val="20"/>
        </w:rPr>
        <w:t xml:space="preserve"> </w:t>
      </w:r>
      <w:r>
        <w:rPr>
          <w:rFonts w:ascii="Arial" w:hAnsi="Arial" w:cs="Arial"/>
          <w:sz w:val="20"/>
          <w:szCs w:val="20"/>
        </w:rPr>
        <w:t>for the</w:t>
      </w:r>
      <w:r w:rsidRPr="00B659CE">
        <w:rPr>
          <w:rFonts w:ascii="Arial" w:hAnsi="Arial" w:cs="Arial"/>
          <w:sz w:val="20"/>
          <w:szCs w:val="20"/>
        </w:rPr>
        <w:t xml:space="preserve"> </w:t>
      </w:r>
      <w:r>
        <w:rPr>
          <w:rFonts w:ascii="Arial" w:hAnsi="Arial" w:cs="Arial"/>
          <w:sz w:val="20"/>
          <w:szCs w:val="20"/>
        </w:rPr>
        <w:t xml:space="preserve">part </w:t>
      </w:r>
      <w:r w:rsidRPr="00B659CE">
        <w:rPr>
          <w:rFonts w:ascii="Arial" w:hAnsi="Arial" w:cs="Arial"/>
          <w:sz w:val="20"/>
          <w:szCs w:val="20"/>
        </w:rPr>
        <w:t>(C) Market Risk</w:t>
      </w:r>
    </w:p>
    <w:p w14:paraId="7EA818CF" w14:textId="773894F6" w:rsidR="00B659CE" w:rsidRDefault="00B659CE" w:rsidP="0035689D">
      <w:pPr>
        <w:pStyle w:val="ListParagraph"/>
        <w:numPr>
          <w:ilvl w:val="0"/>
          <w:numId w:val="47"/>
        </w:numPr>
        <w:tabs>
          <w:tab w:val="left" w:pos="2065"/>
        </w:tabs>
        <w:jc w:val="both"/>
        <w:rPr>
          <w:rFonts w:ascii="Arial" w:hAnsi="Arial" w:cs="Arial"/>
          <w:sz w:val="20"/>
          <w:szCs w:val="20"/>
        </w:rPr>
      </w:pPr>
      <w:r>
        <w:rPr>
          <w:rFonts w:ascii="Arial" w:hAnsi="Arial" w:cs="Arial"/>
          <w:b/>
          <w:sz w:val="20"/>
          <w:szCs w:val="20"/>
        </w:rPr>
        <w:t>Reporting C</w:t>
      </w:r>
      <w:r w:rsidRPr="0035689D">
        <w:rPr>
          <w:rFonts w:ascii="Arial" w:hAnsi="Arial" w:cs="Arial"/>
          <w:b/>
          <w:sz w:val="20"/>
          <w:szCs w:val="20"/>
        </w:rPr>
        <w:t>ode</w:t>
      </w:r>
      <w:r w:rsidRPr="0035689D">
        <w:rPr>
          <w:rFonts w:ascii="Arial" w:hAnsi="Arial" w:cs="Arial"/>
          <w:sz w:val="20"/>
          <w:szCs w:val="20"/>
        </w:rPr>
        <w:t xml:space="preserve"> should be the LEI Code (20 characters) of the Institution </w:t>
      </w:r>
      <w:r w:rsidR="0063515A">
        <w:rPr>
          <w:rFonts w:ascii="Arial" w:hAnsi="Arial" w:cs="Arial"/>
          <w:sz w:val="20"/>
          <w:szCs w:val="20"/>
        </w:rPr>
        <w:t>to</w:t>
      </w:r>
      <w:r w:rsidRPr="0035689D">
        <w:rPr>
          <w:rFonts w:ascii="Arial" w:hAnsi="Arial" w:cs="Arial"/>
          <w:sz w:val="20"/>
          <w:szCs w:val="20"/>
        </w:rPr>
        <w:t xml:space="preserve"> which the Reporting </w:t>
      </w:r>
      <w:r>
        <w:rPr>
          <w:rFonts w:ascii="Arial" w:hAnsi="Arial" w:cs="Arial"/>
          <w:sz w:val="20"/>
          <w:szCs w:val="20"/>
        </w:rPr>
        <w:t>Requirement</w:t>
      </w:r>
      <w:r w:rsidRPr="0035689D">
        <w:rPr>
          <w:rFonts w:ascii="Arial" w:hAnsi="Arial" w:cs="Arial"/>
          <w:sz w:val="20"/>
          <w:szCs w:val="20"/>
        </w:rPr>
        <w:t xml:space="preserve"> relates to.</w:t>
      </w:r>
    </w:p>
    <w:p w14:paraId="6B5C4DCB" w14:textId="2D0ED920" w:rsidR="00B659CE" w:rsidRPr="0063515A" w:rsidRDefault="00B659CE" w:rsidP="0035689D">
      <w:pPr>
        <w:pStyle w:val="ListParagraph"/>
        <w:numPr>
          <w:ilvl w:val="0"/>
          <w:numId w:val="47"/>
        </w:numPr>
        <w:tabs>
          <w:tab w:val="left" w:pos="2065"/>
        </w:tabs>
        <w:jc w:val="both"/>
        <w:rPr>
          <w:rFonts w:ascii="Arial" w:hAnsi="Arial" w:cs="Arial"/>
          <w:sz w:val="20"/>
          <w:szCs w:val="20"/>
        </w:rPr>
      </w:pPr>
      <w:r w:rsidRPr="0035689D">
        <w:rPr>
          <w:rFonts w:ascii="Arial" w:hAnsi="Arial" w:cs="Arial"/>
          <w:b/>
          <w:sz w:val="20"/>
          <w:szCs w:val="20"/>
        </w:rPr>
        <w:t>Reference Date</w:t>
      </w:r>
      <w:r w:rsidR="0063515A" w:rsidRPr="0035689D">
        <w:rPr>
          <w:rFonts w:ascii="Arial" w:hAnsi="Arial" w:cs="Arial"/>
          <w:sz w:val="20"/>
          <w:szCs w:val="20"/>
        </w:rPr>
        <w:t xml:space="preserve"> for which the Reporting </w:t>
      </w:r>
      <w:r w:rsidR="0063515A" w:rsidRPr="0063515A">
        <w:rPr>
          <w:rFonts w:ascii="Arial" w:hAnsi="Arial" w:cs="Arial"/>
          <w:sz w:val="20"/>
          <w:szCs w:val="20"/>
        </w:rPr>
        <w:t>requirement</w:t>
      </w:r>
      <w:r w:rsidR="0063515A" w:rsidRPr="0035689D">
        <w:rPr>
          <w:rFonts w:ascii="Arial" w:hAnsi="Arial" w:cs="Arial"/>
          <w:sz w:val="20"/>
          <w:szCs w:val="20"/>
        </w:rPr>
        <w:t xml:space="preserve">  is reported in </w:t>
      </w:r>
      <w:proofErr w:type="spellStart"/>
      <w:r w:rsidR="0063515A" w:rsidRPr="0035689D">
        <w:rPr>
          <w:rFonts w:ascii="Arial" w:hAnsi="Arial" w:cs="Arial"/>
          <w:sz w:val="20"/>
          <w:szCs w:val="20"/>
        </w:rPr>
        <w:t>yyyymmdd</w:t>
      </w:r>
      <w:proofErr w:type="spellEnd"/>
      <w:r w:rsidR="0063515A" w:rsidRPr="0035689D">
        <w:rPr>
          <w:rFonts w:ascii="Arial" w:hAnsi="Arial" w:cs="Arial"/>
          <w:sz w:val="20"/>
          <w:szCs w:val="20"/>
        </w:rPr>
        <w:t xml:space="preserve"> format</w:t>
      </w:r>
      <w:r w:rsidR="0063515A" w:rsidRPr="0063515A">
        <w:rPr>
          <w:rFonts w:ascii="Arial" w:hAnsi="Arial" w:cs="Arial"/>
          <w:sz w:val="20"/>
          <w:szCs w:val="20"/>
        </w:rPr>
        <w:t xml:space="preserve"> according to the table below:</w:t>
      </w:r>
    </w:p>
    <w:tbl>
      <w:tblPr>
        <w:tblW w:w="2640" w:type="dxa"/>
        <w:tblInd w:w="3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160"/>
      </w:tblGrid>
      <w:tr w:rsidR="0063515A" w:rsidRPr="0063515A" w14:paraId="32318892" w14:textId="77777777" w:rsidTr="0035689D">
        <w:trPr>
          <w:trHeight w:val="300"/>
        </w:trPr>
        <w:tc>
          <w:tcPr>
            <w:tcW w:w="2640" w:type="dxa"/>
            <w:gridSpan w:val="2"/>
            <w:shd w:val="clear" w:color="auto" w:fill="auto"/>
            <w:noWrap/>
            <w:vAlign w:val="center"/>
          </w:tcPr>
          <w:p w14:paraId="0168F2A6" w14:textId="27FD4301" w:rsidR="0063515A" w:rsidRPr="0035689D" w:rsidRDefault="0063515A" w:rsidP="0035689D">
            <w:pPr>
              <w:spacing w:after="0" w:line="240" w:lineRule="auto"/>
              <w:jc w:val="both"/>
              <w:rPr>
                <w:rFonts w:ascii="Arial" w:eastAsia="Times New Roman" w:hAnsi="Arial" w:cs="Arial"/>
                <w:b/>
                <w:color w:val="000000"/>
                <w:sz w:val="20"/>
                <w:szCs w:val="20"/>
                <w:lang w:eastAsia="en-GB"/>
              </w:rPr>
            </w:pPr>
            <w:r w:rsidRPr="0035689D">
              <w:rPr>
                <w:rFonts w:ascii="Arial" w:eastAsia="Times New Roman" w:hAnsi="Arial" w:cs="Arial"/>
                <w:b/>
                <w:color w:val="000000"/>
                <w:sz w:val="20"/>
                <w:szCs w:val="20"/>
                <w:lang w:eastAsia="en-GB"/>
              </w:rPr>
              <w:t>Reference Date</w:t>
            </w:r>
          </w:p>
        </w:tc>
      </w:tr>
      <w:tr w:rsidR="0063515A" w:rsidRPr="0063515A" w14:paraId="514C2EC8" w14:textId="77777777" w:rsidTr="0035689D">
        <w:trPr>
          <w:trHeight w:val="300"/>
        </w:trPr>
        <w:tc>
          <w:tcPr>
            <w:tcW w:w="1480" w:type="dxa"/>
            <w:shd w:val="clear" w:color="auto" w:fill="auto"/>
            <w:noWrap/>
            <w:vAlign w:val="center"/>
            <w:hideMark/>
          </w:tcPr>
          <w:p w14:paraId="3179D25A"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31.03.2020</w:t>
            </w:r>
          </w:p>
        </w:tc>
        <w:tc>
          <w:tcPr>
            <w:tcW w:w="1160" w:type="dxa"/>
            <w:shd w:val="clear" w:color="auto" w:fill="auto"/>
            <w:noWrap/>
            <w:vAlign w:val="center"/>
            <w:hideMark/>
          </w:tcPr>
          <w:p w14:paraId="2987942C"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20200331</w:t>
            </w:r>
          </w:p>
        </w:tc>
      </w:tr>
      <w:tr w:rsidR="0063515A" w:rsidRPr="0063515A" w14:paraId="019AADBE" w14:textId="77777777" w:rsidTr="0035689D">
        <w:trPr>
          <w:trHeight w:val="300"/>
        </w:trPr>
        <w:tc>
          <w:tcPr>
            <w:tcW w:w="1480" w:type="dxa"/>
            <w:shd w:val="clear" w:color="auto" w:fill="auto"/>
            <w:noWrap/>
            <w:vAlign w:val="center"/>
            <w:hideMark/>
          </w:tcPr>
          <w:p w14:paraId="72AB7D7A"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31.05.2020</w:t>
            </w:r>
          </w:p>
        </w:tc>
        <w:tc>
          <w:tcPr>
            <w:tcW w:w="1160" w:type="dxa"/>
            <w:shd w:val="clear" w:color="auto" w:fill="auto"/>
            <w:noWrap/>
            <w:vAlign w:val="center"/>
            <w:hideMark/>
          </w:tcPr>
          <w:p w14:paraId="37F9B4D2"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20200531</w:t>
            </w:r>
          </w:p>
        </w:tc>
      </w:tr>
      <w:tr w:rsidR="0063515A" w:rsidRPr="0063515A" w14:paraId="744C8709" w14:textId="77777777" w:rsidTr="0035689D">
        <w:trPr>
          <w:trHeight w:val="300"/>
        </w:trPr>
        <w:tc>
          <w:tcPr>
            <w:tcW w:w="1480" w:type="dxa"/>
            <w:shd w:val="clear" w:color="auto" w:fill="auto"/>
            <w:noWrap/>
            <w:vAlign w:val="center"/>
            <w:hideMark/>
          </w:tcPr>
          <w:p w14:paraId="2607F026"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30.06.2020</w:t>
            </w:r>
          </w:p>
        </w:tc>
        <w:tc>
          <w:tcPr>
            <w:tcW w:w="1160" w:type="dxa"/>
            <w:shd w:val="clear" w:color="auto" w:fill="auto"/>
            <w:noWrap/>
            <w:vAlign w:val="center"/>
            <w:hideMark/>
          </w:tcPr>
          <w:p w14:paraId="19949609"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20200630</w:t>
            </w:r>
          </w:p>
        </w:tc>
      </w:tr>
      <w:tr w:rsidR="0063515A" w:rsidRPr="0063515A" w14:paraId="543B375C" w14:textId="77777777" w:rsidTr="0035689D">
        <w:trPr>
          <w:trHeight w:val="300"/>
        </w:trPr>
        <w:tc>
          <w:tcPr>
            <w:tcW w:w="1480" w:type="dxa"/>
            <w:shd w:val="clear" w:color="auto" w:fill="auto"/>
            <w:noWrap/>
            <w:vAlign w:val="center"/>
            <w:hideMark/>
          </w:tcPr>
          <w:p w14:paraId="36E54976"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31.07.2020</w:t>
            </w:r>
          </w:p>
        </w:tc>
        <w:tc>
          <w:tcPr>
            <w:tcW w:w="1160" w:type="dxa"/>
            <w:shd w:val="clear" w:color="auto" w:fill="auto"/>
            <w:noWrap/>
            <w:vAlign w:val="center"/>
            <w:hideMark/>
          </w:tcPr>
          <w:p w14:paraId="15400637"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20200731</w:t>
            </w:r>
          </w:p>
        </w:tc>
      </w:tr>
      <w:tr w:rsidR="0063515A" w:rsidRPr="0063515A" w14:paraId="316F3192" w14:textId="77777777" w:rsidTr="0035689D">
        <w:trPr>
          <w:trHeight w:val="300"/>
        </w:trPr>
        <w:tc>
          <w:tcPr>
            <w:tcW w:w="1480" w:type="dxa"/>
            <w:shd w:val="clear" w:color="auto" w:fill="auto"/>
            <w:noWrap/>
            <w:vAlign w:val="center"/>
            <w:hideMark/>
          </w:tcPr>
          <w:p w14:paraId="7EC793EB"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31.08.2020</w:t>
            </w:r>
          </w:p>
        </w:tc>
        <w:tc>
          <w:tcPr>
            <w:tcW w:w="1160" w:type="dxa"/>
            <w:shd w:val="clear" w:color="auto" w:fill="auto"/>
            <w:noWrap/>
            <w:vAlign w:val="center"/>
            <w:hideMark/>
          </w:tcPr>
          <w:p w14:paraId="498293DC"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20200831</w:t>
            </w:r>
          </w:p>
        </w:tc>
      </w:tr>
      <w:tr w:rsidR="0063515A" w:rsidRPr="0063515A" w14:paraId="61CC9BF1" w14:textId="77777777" w:rsidTr="0035689D">
        <w:trPr>
          <w:trHeight w:val="300"/>
        </w:trPr>
        <w:tc>
          <w:tcPr>
            <w:tcW w:w="1480" w:type="dxa"/>
            <w:shd w:val="clear" w:color="auto" w:fill="auto"/>
            <w:noWrap/>
            <w:vAlign w:val="center"/>
            <w:hideMark/>
          </w:tcPr>
          <w:p w14:paraId="11CD6EEE"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30.09.2020</w:t>
            </w:r>
          </w:p>
        </w:tc>
        <w:tc>
          <w:tcPr>
            <w:tcW w:w="1160" w:type="dxa"/>
            <w:shd w:val="clear" w:color="auto" w:fill="auto"/>
            <w:noWrap/>
            <w:vAlign w:val="center"/>
            <w:hideMark/>
          </w:tcPr>
          <w:p w14:paraId="11255F7B"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20200930</w:t>
            </w:r>
          </w:p>
        </w:tc>
      </w:tr>
      <w:tr w:rsidR="0063515A" w:rsidRPr="0063515A" w14:paraId="1754F477" w14:textId="77777777" w:rsidTr="0035689D">
        <w:trPr>
          <w:trHeight w:val="300"/>
        </w:trPr>
        <w:tc>
          <w:tcPr>
            <w:tcW w:w="1480" w:type="dxa"/>
            <w:shd w:val="clear" w:color="auto" w:fill="auto"/>
            <w:noWrap/>
            <w:vAlign w:val="center"/>
            <w:hideMark/>
          </w:tcPr>
          <w:p w14:paraId="0187577A"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31.10.2020</w:t>
            </w:r>
          </w:p>
        </w:tc>
        <w:tc>
          <w:tcPr>
            <w:tcW w:w="1160" w:type="dxa"/>
            <w:shd w:val="clear" w:color="auto" w:fill="auto"/>
            <w:noWrap/>
            <w:vAlign w:val="center"/>
            <w:hideMark/>
          </w:tcPr>
          <w:p w14:paraId="40339E84"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20201031</w:t>
            </w:r>
          </w:p>
        </w:tc>
      </w:tr>
      <w:tr w:rsidR="0063515A" w:rsidRPr="0063515A" w14:paraId="3E6A6F86" w14:textId="77777777" w:rsidTr="0035689D">
        <w:trPr>
          <w:trHeight w:val="300"/>
        </w:trPr>
        <w:tc>
          <w:tcPr>
            <w:tcW w:w="1480" w:type="dxa"/>
            <w:shd w:val="clear" w:color="auto" w:fill="auto"/>
            <w:noWrap/>
            <w:vAlign w:val="center"/>
            <w:hideMark/>
          </w:tcPr>
          <w:p w14:paraId="31333540"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30.11.2020</w:t>
            </w:r>
          </w:p>
        </w:tc>
        <w:tc>
          <w:tcPr>
            <w:tcW w:w="1160" w:type="dxa"/>
            <w:shd w:val="clear" w:color="auto" w:fill="auto"/>
            <w:noWrap/>
            <w:vAlign w:val="center"/>
            <w:hideMark/>
          </w:tcPr>
          <w:p w14:paraId="148E9EB0"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20201130</w:t>
            </w:r>
          </w:p>
        </w:tc>
      </w:tr>
      <w:tr w:rsidR="0063515A" w:rsidRPr="0063515A" w14:paraId="14210FE9" w14:textId="77777777" w:rsidTr="0035689D">
        <w:trPr>
          <w:trHeight w:val="300"/>
        </w:trPr>
        <w:tc>
          <w:tcPr>
            <w:tcW w:w="1480" w:type="dxa"/>
            <w:shd w:val="clear" w:color="auto" w:fill="auto"/>
            <w:noWrap/>
            <w:vAlign w:val="center"/>
            <w:hideMark/>
          </w:tcPr>
          <w:p w14:paraId="14453A41"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31.12.2020</w:t>
            </w:r>
          </w:p>
        </w:tc>
        <w:tc>
          <w:tcPr>
            <w:tcW w:w="1160" w:type="dxa"/>
            <w:shd w:val="clear" w:color="auto" w:fill="auto"/>
            <w:noWrap/>
            <w:vAlign w:val="center"/>
            <w:hideMark/>
          </w:tcPr>
          <w:p w14:paraId="3ED88989"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20201231</w:t>
            </w:r>
          </w:p>
        </w:tc>
      </w:tr>
    </w:tbl>
    <w:p w14:paraId="45CEDD7E" w14:textId="77777777" w:rsidR="0063515A" w:rsidRDefault="0063515A" w:rsidP="0035689D">
      <w:pPr>
        <w:pStyle w:val="ListParagraph"/>
        <w:tabs>
          <w:tab w:val="left" w:pos="2065"/>
        </w:tabs>
        <w:jc w:val="both"/>
        <w:rPr>
          <w:rFonts w:ascii="Arial" w:hAnsi="Arial" w:cs="Arial"/>
          <w:sz w:val="20"/>
          <w:szCs w:val="20"/>
        </w:rPr>
      </w:pPr>
    </w:p>
    <w:p w14:paraId="57B24952" w14:textId="77777777" w:rsidR="0035689D" w:rsidRPr="0035689D" w:rsidRDefault="0063515A" w:rsidP="0035689D">
      <w:pPr>
        <w:pStyle w:val="ListParagraph"/>
        <w:numPr>
          <w:ilvl w:val="0"/>
          <w:numId w:val="47"/>
        </w:numPr>
        <w:tabs>
          <w:tab w:val="left" w:pos="2065"/>
        </w:tabs>
        <w:jc w:val="both"/>
        <w:rPr>
          <w:rFonts w:ascii="Arial" w:hAnsi="Arial" w:cs="Arial"/>
          <w:b/>
          <w:sz w:val="20"/>
          <w:szCs w:val="20"/>
        </w:rPr>
      </w:pPr>
      <w:r w:rsidRPr="0035689D">
        <w:rPr>
          <w:rFonts w:ascii="Arial" w:hAnsi="Arial" w:cs="Arial"/>
          <w:b/>
          <w:sz w:val="20"/>
          <w:szCs w:val="20"/>
        </w:rPr>
        <w:t>Version</w:t>
      </w:r>
      <w:r>
        <w:rPr>
          <w:rFonts w:ascii="Arial" w:hAnsi="Arial" w:cs="Arial"/>
          <w:b/>
          <w:sz w:val="20"/>
          <w:szCs w:val="20"/>
        </w:rPr>
        <w:t xml:space="preserve"> </w:t>
      </w:r>
      <w:r w:rsidRPr="0035689D">
        <w:rPr>
          <w:rFonts w:ascii="Arial" w:hAnsi="Arial" w:cs="Arial"/>
          <w:b/>
          <w:sz w:val="20"/>
          <w:szCs w:val="20"/>
        </w:rPr>
        <w:t xml:space="preserve">Number </w:t>
      </w:r>
      <w:r w:rsidRPr="0035689D">
        <w:rPr>
          <w:rFonts w:ascii="Arial" w:hAnsi="Arial" w:cs="Arial"/>
          <w:sz w:val="20"/>
          <w:szCs w:val="20"/>
        </w:rPr>
        <w:t>is an integer starting from 1to 99, signifying the version of the submitted template. An increased value is expected for any resubmission</w:t>
      </w:r>
      <w:r w:rsidR="00C847DA" w:rsidRPr="0035689D">
        <w:rPr>
          <w:rFonts w:ascii="Arial" w:hAnsi="Arial" w:cs="Arial"/>
          <w:sz w:val="20"/>
          <w:szCs w:val="20"/>
        </w:rPr>
        <w:t>, so that</w:t>
      </w:r>
      <w:r w:rsidRPr="0035689D">
        <w:rPr>
          <w:rFonts w:ascii="Arial" w:hAnsi="Arial" w:cs="Arial"/>
          <w:sz w:val="20"/>
          <w:szCs w:val="20"/>
        </w:rPr>
        <w:t xml:space="preserve"> </w:t>
      </w:r>
      <w:r w:rsidR="00C847DA" w:rsidRPr="0035689D">
        <w:rPr>
          <w:rFonts w:ascii="Arial" w:hAnsi="Arial" w:cs="Arial"/>
          <w:sz w:val="20"/>
          <w:szCs w:val="20"/>
        </w:rPr>
        <w:t>it is</w:t>
      </w:r>
      <w:r w:rsidRPr="0035689D">
        <w:rPr>
          <w:rFonts w:ascii="Arial" w:hAnsi="Arial" w:cs="Arial"/>
          <w:sz w:val="20"/>
          <w:szCs w:val="20"/>
        </w:rPr>
        <w:t xml:space="preserve"> higher than the previous submission.</w:t>
      </w:r>
    </w:p>
    <w:p w14:paraId="7E250A9C" w14:textId="6DB3A15C" w:rsidR="0063515A" w:rsidRPr="0035689D" w:rsidRDefault="0063515A" w:rsidP="0035689D">
      <w:pPr>
        <w:pStyle w:val="ListParagraph"/>
        <w:numPr>
          <w:ilvl w:val="0"/>
          <w:numId w:val="47"/>
        </w:numPr>
        <w:tabs>
          <w:tab w:val="left" w:pos="2065"/>
        </w:tabs>
        <w:jc w:val="both"/>
        <w:rPr>
          <w:rFonts w:ascii="Arial" w:hAnsi="Arial" w:cs="Arial"/>
          <w:b/>
          <w:sz w:val="20"/>
          <w:szCs w:val="20"/>
        </w:rPr>
      </w:pPr>
      <w:r w:rsidRPr="0035689D">
        <w:rPr>
          <w:rFonts w:ascii="Arial" w:hAnsi="Arial" w:cs="Arial"/>
          <w:b/>
          <w:sz w:val="20"/>
          <w:szCs w:val="20"/>
        </w:rPr>
        <w:t>Consolidation Level</w:t>
      </w:r>
      <w:r w:rsidRPr="0035689D">
        <w:rPr>
          <w:rFonts w:ascii="Arial" w:hAnsi="Arial" w:cs="Arial"/>
          <w:sz w:val="20"/>
          <w:szCs w:val="20"/>
        </w:rPr>
        <w:t xml:space="preserve"> Consolidation Level of the Reporting Institution as stated in the Reporting Requirement.  Should take the values: GR for Consolidated, CO for Individual</w:t>
      </w:r>
    </w:p>
    <w:sectPr w:rsidR="0063515A" w:rsidRPr="0035689D">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9AAA6" w14:textId="77777777" w:rsidR="00C66F96" w:rsidRDefault="00C66F96" w:rsidP="001C63F7">
      <w:pPr>
        <w:spacing w:after="0" w:line="240" w:lineRule="auto"/>
      </w:pPr>
      <w:r>
        <w:separator/>
      </w:r>
    </w:p>
  </w:endnote>
  <w:endnote w:type="continuationSeparator" w:id="0">
    <w:p w14:paraId="1BA71A42" w14:textId="77777777" w:rsidR="00C66F96" w:rsidRDefault="00C66F96" w:rsidP="001C63F7">
      <w:pPr>
        <w:spacing w:after="0" w:line="240" w:lineRule="auto"/>
      </w:pPr>
      <w:r>
        <w:continuationSeparator/>
      </w:r>
    </w:p>
  </w:endnote>
  <w:endnote w:type="continuationNotice" w:id="1">
    <w:p w14:paraId="4BC88345" w14:textId="77777777" w:rsidR="00C66F96" w:rsidRDefault="00C66F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ndnya">
    <w:altName w:val="Courier"/>
    <w:panose1 w:val="00000400000000000000"/>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211543"/>
      <w:docPartObj>
        <w:docPartGallery w:val="Page Numbers (Bottom of Page)"/>
        <w:docPartUnique/>
      </w:docPartObj>
    </w:sdtPr>
    <w:sdtEndPr>
      <w:rPr>
        <w:rFonts w:ascii="Arial" w:hAnsi="Arial" w:cs="Arial"/>
        <w:noProof/>
        <w:sz w:val="18"/>
        <w:szCs w:val="18"/>
      </w:rPr>
    </w:sdtEndPr>
    <w:sdtContent>
      <w:p w14:paraId="395678D3" w14:textId="71E764FD" w:rsidR="00230BFA" w:rsidRPr="002016F4" w:rsidRDefault="00230BFA">
        <w:pPr>
          <w:pStyle w:val="Footer"/>
          <w:jc w:val="right"/>
          <w:rPr>
            <w:rFonts w:ascii="Arial" w:hAnsi="Arial" w:cs="Arial"/>
            <w:sz w:val="18"/>
            <w:szCs w:val="18"/>
          </w:rPr>
        </w:pPr>
        <w:r w:rsidRPr="002016F4">
          <w:rPr>
            <w:rFonts w:ascii="Arial" w:hAnsi="Arial" w:cs="Arial"/>
            <w:sz w:val="18"/>
            <w:szCs w:val="18"/>
          </w:rPr>
          <w:fldChar w:fldCharType="begin"/>
        </w:r>
        <w:r w:rsidRPr="002016F4">
          <w:rPr>
            <w:rFonts w:ascii="Arial" w:hAnsi="Arial" w:cs="Arial"/>
            <w:sz w:val="18"/>
            <w:szCs w:val="18"/>
          </w:rPr>
          <w:instrText xml:space="preserve"> PAGE   \* MERGEFORMAT </w:instrText>
        </w:r>
        <w:r w:rsidRPr="002016F4">
          <w:rPr>
            <w:rFonts w:ascii="Arial" w:hAnsi="Arial" w:cs="Arial"/>
            <w:sz w:val="18"/>
            <w:szCs w:val="18"/>
          </w:rPr>
          <w:fldChar w:fldCharType="separate"/>
        </w:r>
        <w:r w:rsidR="00FF3048">
          <w:rPr>
            <w:rFonts w:ascii="Arial" w:hAnsi="Arial" w:cs="Arial"/>
            <w:noProof/>
            <w:sz w:val="18"/>
            <w:szCs w:val="18"/>
          </w:rPr>
          <w:t>1</w:t>
        </w:r>
        <w:r w:rsidRPr="002016F4">
          <w:rPr>
            <w:rFonts w:ascii="Arial" w:hAnsi="Arial" w:cs="Arial"/>
            <w:noProof/>
            <w:sz w:val="18"/>
            <w:szCs w:val="18"/>
          </w:rPr>
          <w:fldChar w:fldCharType="end"/>
        </w:r>
      </w:p>
    </w:sdtContent>
  </w:sdt>
  <w:p w14:paraId="45660EFE" w14:textId="77777777" w:rsidR="00230BFA" w:rsidRDefault="00230B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EA27E8" w14:textId="77777777" w:rsidR="00C66F96" w:rsidRDefault="00C66F96" w:rsidP="001C63F7">
      <w:pPr>
        <w:spacing w:after="0" w:line="240" w:lineRule="auto"/>
      </w:pPr>
      <w:r>
        <w:separator/>
      </w:r>
    </w:p>
  </w:footnote>
  <w:footnote w:type="continuationSeparator" w:id="0">
    <w:p w14:paraId="24B4B917" w14:textId="77777777" w:rsidR="00C66F96" w:rsidRDefault="00C66F96" w:rsidP="001C63F7">
      <w:pPr>
        <w:spacing w:after="0" w:line="240" w:lineRule="auto"/>
      </w:pPr>
      <w:r>
        <w:continuationSeparator/>
      </w:r>
    </w:p>
  </w:footnote>
  <w:footnote w:type="continuationNotice" w:id="1">
    <w:p w14:paraId="1E9A45AB" w14:textId="77777777" w:rsidR="00C66F96" w:rsidRDefault="00C66F96">
      <w:pPr>
        <w:spacing w:after="0" w:line="240" w:lineRule="auto"/>
      </w:pPr>
    </w:p>
  </w:footnote>
  <w:footnote w:id="2">
    <w:p w14:paraId="67F8E001" w14:textId="22D426D8" w:rsidR="00230BFA" w:rsidRDefault="00230BFA" w:rsidP="00313B99">
      <w:pPr>
        <w:pStyle w:val="FootnoteText"/>
      </w:pPr>
      <w:r>
        <w:rPr>
          <w:rStyle w:val="FootnoteReference"/>
        </w:rPr>
        <w:footnoteRef/>
      </w:r>
      <w:r>
        <w:t xml:space="preserve"> I</w:t>
      </w:r>
      <w:r w:rsidRPr="00C70BDF">
        <w:t xml:space="preserve">ncluding </w:t>
      </w:r>
      <w:r>
        <w:t xml:space="preserve">Committed lines and general information loans and advances templates as well as information on </w:t>
      </w:r>
      <w:r w:rsidRPr="00C70BDF">
        <w:t xml:space="preserve">Moratoria and </w:t>
      </w:r>
      <w:r>
        <w:t>State guarantees, as per the templates developed by the EBA on this matter</w:t>
      </w:r>
    </w:p>
  </w:footnote>
  <w:footnote w:id="3">
    <w:p w14:paraId="528B7D72" w14:textId="4745B597" w:rsidR="00230BFA" w:rsidRDefault="00230BFA" w:rsidP="00313B99">
      <w:pPr>
        <w:pStyle w:val="FootnoteText"/>
      </w:pPr>
      <w:r>
        <w:rPr>
          <w:rStyle w:val="FootnoteReference"/>
        </w:rPr>
        <w:footnoteRef/>
      </w:r>
      <w:r>
        <w:t xml:space="preserve"> As per the templates developed by the EBA on this matter</w:t>
      </w:r>
    </w:p>
  </w:footnote>
  <w:footnote w:id="4">
    <w:p w14:paraId="35BB2984" w14:textId="1517A5F0" w:rsidR="00230BFA" w:rsidRDefault="00230BFA" w:rsidP="00313B99">
      <w:pPr>
        <w:pStyle w:val="FootnoteText"/>
      </w:pPr>
      <w:r>
        <w:rPr>
          <w:rStyle w:val="FootnoteReference"/>
        </w:rPr>
        <w:footnoteRef/>
      </w:r>
      <w:r>
        <w:t xml:space="preserve"> As per the templates developed by the EBA on this matter</w:t>
      </w:r>
    </w:p>
  </w:footnote>
  <w:footnote w:id="5">
    <w:p w14:paraId="68F640C6" w14:textId="0267A288" w:rsidR="00230BFA" w:rsidRDefault="00230BFA" w:rsidP="00313B99">
      <w:pPr>
        <w:pStyle w:val="FootnoteText"/>
      </w:pPr>
      <w:r>
        <w:rPr>
          <w:rStyle w:val="FootnoteReference"/>
        </w:rPr>
        <w:footnoteRef/>
      </w:r>
      <w:r>
        <w:t xml:space="preserve"> Including the templates on Moratoria and State guarantees developed by the EBA on this matter</w:t>
      </w:r>
    </w:p>
  </w:footnote>
  <w:footnote w:id="6">
    <w:p w14:paraId="2BF1BA15" w14:textId="77777777" w:rsidR="00230BFA" w:rsidRDefault="00230BFA" w:rsidP="00A3747E">
      <w:pPr>
        <w:pStyle w:val="FootnoteText"/>
        <w:jc w:val="both"/>
      </w:pPr>
      <w:r>
        <w:rPr>
          <w:rStyle w:val="FootnoteReference"/>
        </w:rPr>
        <w:footnoteRef/>
      </w:r>
      <w:r>
        <w:t xml:space="preserve"> </w:t>
      </w:r>
      <w:r w:rsidRPr="00023465">
        <w:t>Regulation (EC) No 1893/2006 of the European Parliament and of the Council of 20 December 2006 establishing the statistical classification of economic activities NACE Revision 2 and amending Council Regulation (EEC) No 3037/90 as well as certain EC Regulations on specific statistical domains (OJ L 393, 30.12.2006, p. 1).</w:t>
      </w:r>
    </w:p>
  </w:footnote>
  <w:footnote w:id="7">
    <w:p w14:paraId="737C840E" w14:textId="77777777" w:rsidR="00230BFA" w:rsidRPr="0091643A" w:rsidRDefault="00230BFA" w:rsidP="00A3747E">
      <w:pPr>
        <w:pStyle w:val="FootnoteText"/>
        <w:jc w:val="both"/>
      </w:pPr>
      <w:r>
        <w:rPr>
          <w:rStyle w:val="FootnoteReference"/>
        </w:rPr>
        <w:footnoteRef/>
      </w:r>
      <w:r>
        <w:t xml:space="preserve"> </w:t>
      </w:r>
      <w:proofErr w:type="gramStart"/>
      <w:r>
        <w:t>EBA/GL/2020/02.</w:t>
      </w:r>
      <w:proofErr w:type="gramEnd"/>
    </w:p>
  </w:footnote>
  <w:footnote w:id="8">
    <w:p w14:paraId="0AE2F16B" w14:textId="77777777" w:rsidR="00230BFA" w:rsidRDefault="00230BFA" w:rsidP="00A3747E">
      <w:pPr>
        <w:pStyle w:val="FootnoteText"/>
        <w:jc w:val="both"/>
      </w:pPr>
      <w:r>
        <w:rPr>
          <w:rStyle w:val="FootnoteReference"/>
        </w:rPr>
        <w:footnoteRef/>
      </w:r>
      <w:r>
        <w:t xml:space="preserve"> COMMISSION IMPLEMENTING REGULATION (EU) No 680/2014 of 16 April 2014 laying down implementing technical standards with regard to supervisory reporting of institutions according to Regulation (EU) No 575/2013 of the European Parliament and of the Council.</w:t>
      </w:r>
    </w:p>
  </w:footnote>
  <w:footnote w:id="9">
    <w:p w14:paraId="1B1C88E3" w14:textId="544A5211" w:rsidR="00230BFA" w:rsidRDefault="00230BFA" w:rsidP="00313B99">
      <w:pPr>
        <w:pStyle w:val="FootnoteText"/>
      </w:pPr>
      <w:r>
        <w:rPr>
          <w:rStyle w:val="FootnoteReference"/>
        </w:rPr>
        <w:footnoteRef/>
      </w:r>
      <w:r>
        <w:t xml:space="preserve"> As per the templates (attached) and instructions (</w:t>
      </w:r>
      <w:hyperlink r:id="rId1" w:history="1">
        <w:r w:rsidRPr="00313703">
          <w:rPr>
            <w:rStyle w:val="Hyperlink"/>
          </w:rPr>
          <w:t>https://eba.europa.eu/sites/default/documents/files/document_library/Publications/Guidelines/2020/884433/EBA%20GL%202020%2007%20Annex%202%20-%20Covid-19%20reporting%20instructions.pdf</w:t>
        </w:r>
      </w:hyperlink>
      <w:r>
        <w:t>) developed by the  EBA on this matter</w:t>
      </w:r>
    </w:p>
  </w:footnote>
  <w:footnote w:id="10">
    <w:p w14:paraId="7E5E2C81" w14:textId="77777777" w:rsidR="00230BFA" w:rsidRDefault="00230BFA">
      <w:pPr>
        <w:pStyle w:val="FootnoteText"/>
      </w:pPr>
      <w:r>
        <w:rPr>
          <w:rStyle w:val="FootnoteReference"/>
        </w:rPr>
        <w:footnoteRef/>
      </w:r>
      <w:r>
        <w:t xml:space="preserve"> </w:t>
      </w:r>
      <w:r w:rsidRPr="00991C03">
        <w:t xml:space="preserve">The list is not intended to be exhaustive, except for Vega, where sensitivities only to options should be reported. </w:t>
      </w:r>
      <w:proofErr w:type="gramStart"/>
      <w:r w:rsidRPr="00991C03">
        <w:t>Indicative broad categories.</w:t>
      </w:r>
      <w:proofErr w:type="gramEnd"/>
      <w:r w:rsidRPr="00991C03">
        <w:t xml:space="preserve"> Also required are combinations thereof, e.g. </w:t>
      </w:r>
      <w:proofErr w:type="spellStart"/>
      <w:r w:rsidRPr="00991C03">
        <w:t>swaptions</w:t>
      </w:r>
      <w:proofErr w:type="spellEnd"/>
      <w:r w:rsidRPr="00991C03">
        <w:t xml:space="preserve">. Gamma for bonds, swaps and other linear contracts sensitive to IR risk </w:t>
      </w:r>
      <w:r>
        <w:t>should</w:t>
      </w:r>
      <w:r w:rsidRPr="00991C03">
        <w:t xml:space="preserve"> be interpreted as the convexity.</w:t>
      </w:r>
    </w:p>
  </w:footnote>
  <w:footnote w:id="11">
    <w:p w14:paraId="18663C8A" w14:textId="68B01E0E" w:rsidR="00230BFA" w:rsidRDefault="00230BFA">
      <w:pPr>
        <w:pStyle w:val="FootnoteText"/>
      </w:pPr>
      <w:r>
        <w:rPr>
          <w:rStyle w:val="FootnoteReference"/>
        </w:rPr>
        <w:footnoteRef/>
      </w:r>
      <w:r>
        <w:t xml:space="preserve"> This category contributes to total but not to any of the categories.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26F40"/>
    <w:multiLevelType w:val="hybridMultilevel"/>
    <w:tmpl w:val="7B341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D60DCF"/>
    <w:multiLevelType w:val="hybridMultilevel"/>
    <w:tmpl w:val="E880FDE2"/>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2">
    <w:nsid w:val="0B142D5F"/>
    <w:multiLevelType w:val="hybridMultilevel"/>
    <w:tmpl w:val="AAF27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E94968"/>
    <w:multiLevelType w:val="hybridMultilevel"/>
    <w:tmpl w:val="B6624A7E"/>
    <w:lvl w:ilvl="0" w:tplc="5F56F3B6">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19E0803"/>
    <w:multiLevelType w:val="multilevel"/>
    <w:tmpl w:val="5922F724"/>
    <w:lvl w:ilvl="0">
      <w:start w:val="4"/>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3710F59"/>
    <w:multiLevelType w:val="hybridMultilevel"/>
    <w:tmpl w:val="7EE44EDA"/>
    <w:lvl w:ilvl="0" w:tplc="5B7E6066">
      <w:start w:val="1"/>
      <w:numFmt w:val="decimal"/>
      <w:pStyle w:val="Baseparagraphnumbered"/>
      <w:lvlText w:val="%1."/>
      <w:lvlJc w:val="left"/>
      <w:pPr>
        <w:ind w:left="786" w:hanging="360"/>
      </w:pPr>
      <w:rPr>
        <w:rFonts w:hint="default"/>
        <w:lang w:val="en-US"/>
      </w:rPr>
    </w:lvl>
    <w:lvl w:ilvl="1" w:tplc="E8245F5A">
      <w:start w:val="1"/>
      <w:numFmt w:val="lowerLetter"/>
      <w:lvlText w:val="(%2)"/>
      <w:lvlJc w:val="left"/>
      <w:pPr>
        <w:ind w:left="1494" w:hanging="360"/>
      </w:pPr>
      <w:rPr>
        <w:rFonts w:ascii="Times New Roman" w:eastAsia="Times New Roman" w:hAnsi="Times New Roman" w:cs="Times New Roman"/>
      </w:rPr>
    </w:lvl>
    <w:lvl w:ilvl="2" w:tplc="5BE4D2A0">
      <w:start w:val="1"/>
      <w:numFmt w:val="lowerRoman"/>
      <w:lvlText w:val="%3."/>
      <w:lvlJc w:val="right"/>
      <w:pPr>
        <w:ind w:left="2225" w:hanging="180"/>
      </w:pPr>
    </w:lvl>
    <w:lvl w:ilvl="3" w:tplc="E8A6BEAE" w:tentative="1">
      <w:start w:val="1"/>
      <w:numFmt w:val="decimal"/>
      <w:lvlText w:val="%4."/>
      <w:lvlJc w:val="left"/>
      <w:pPr>
        <w:ind w:left="2945" w:hanging="360"/>
      </w:pPr>
    </w:lvl>
    <w:lvl w:ilvl="4" w:tplc="9A703294" w:tentative="1">
      <w:start w:val="1"/>
      <w:numFmt w:val="lowerLetter"/>
      <w:lvlText w:val="%5."/>
      <w:lvlJc w:val="left"/>
      <w:pPr>
        <w:ind w:left="3665" w:hanging="360"/>
      </w:pPr>
    </w:lvl>
    <w:lvl w:ilvl="5" w:tplc="B14C4D10" w:tentative="1">
      <w:start w:val="1"/>
      <w:numFmt w:val="lowerRoman"/>
      <w:lvlText w:val="%6."/>
      <w:lvlJc w:val="right"/>
      <w:pPr>
        <w:ind w:left="4385" w:hanging="180"/>
      </w:pPr>
    </w:lvl>
    <w:lvl w:ilvl="6" w:tplc="EECA4DA6" w:tentative="1">
      <w:start w:val="1"/>
      <w:numFmt w:val="decimal"/>
      <w:lvlText w:val="%7."/>
      <w:lvlJc w:val="left"/>
      <w:pPr>
        <w:ind w:left="5105" w:hanging="360"/>
      </w:pPr>
    </w:lvl>
    <w:lvl w:ilvl="7" w:tplc="444C72AC" w:tentative="1">
      <w:start w:val="1"/>
      <w:numFmt w:val="lowerLetter"/>
      <w:lvlText w:val="%8."/>
      <w:lvlJc w:val="left"/>
      <w:pPr>
        <w:ind w:left="5825" w:hanging="360"/>
      </w:pPr>
    </w:lvl>
    <w:lvl w:ilvl="8" w:tplc="C9C872DC" w:tentative="1">
      <w:start w:val="1"/>
      <w:numFmt w:val="lowerRoman"/>
      <w:lvlText w:val="%9."/>
      <w:lvlJc w:val="right"/>
      <w:pPr>
        <w:ind w:left="6545" w:hanging="180"/>
      </w:pPr>
    </w:lvl>
  </w:abstractNum>
  <w:abstractNum w:abstractNumId="6">
    <w:nsid w:val="164052F2"/>
    <w:multiLevelType w:val="hybridMultilevel"/>
    <w:tmpl w:val="2A0EA040"/>
    <w:lvl w:ilvl="0" w:tplc="6E1497EE">
      <w:start w:val="1"/>
      <w:numFmt w:val="decimal"/>
      <w:lvlText w:val="%1."/>
      <w:lvlJc w:val="left"/>
      <w:pPr>
        <w:ind w:left="-108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7">
    <w:nsid w:val="1A335D81"/>
    <w:multiLevelType w:val="hybridMultilevel"/>
    <w:tmpl w:val="C862FEBA"/>
    <w:lvl w:ilvl="0" w:tplc="40CE9D6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C326FDE"/>
    <w:multiLevelType w:val="hybridMultilevel"/>
    <w:tmpl w:val="B31A76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CA473BF"/>
    <w:multiLevelType w:val="hybridMultilevel"/>
    <w:tmpl w:val="B8DA2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B46131"/>
    <w:multiLevelType w:val="hybridMultilevel"/>
    <w:tmpl w:val="D3B0C3F8"/>
    <w:lvl w:ilvl="0" w:tplc="5F56F3B6">
      <w:start w:val="1"/>
      <w:numFmt w:val="lowerLetter"/>
      <w:lvlText w:val="(%1)"/>
      <w:lvlJc w:val="left"/>
      <w:pPr>
        <w:ind w:left="1713" w:hanging="360"/>
      </w:pPr>
      <w:rPr>
        <w:rFonts w:cs="Times New Roman"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1">
    <w:nsid w:val="21D81156"/>
    <w:multiLevelType w:val="hybridMultilevel"/>
    <w:tmpl w:val="7BC6D966"/>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3DA26F2"/>
    <w:multiLevelType w:val="hybridMultilevel"/>
    <w:tmpl w:val="AC84C36A"/>
    <w:lvl w:ilvl="0" w:tplc="605ABAC2">
      <w:start w:val="1"/>
      <w:numFmt w:val="upperLetter"/>
      <w:lvlText w:val="(%1)"/>
      <w:lvlJc w:val="left"/>
      <w:pPr>
        <w:ind w:left="360" w:hanging="360"/>
      </w:pPr>
      <w:rPr>
        <w:rFonts w:hint="default"/>
      </w:rPr>
    </w:lvl>
    <w:lvl w:ilvl="1" w:tplc="2DEE7BE8">
      <w:numFmt w:val="bullet"/>
      <w:lvlText w:val="-"/>
      <w:lvlJc w:val="left"/>
      <w:pPr>
        <w:ind w:left="1080" w:hanging="360"/>
      </w:pPr>
      <w:rPr>
        <w:rFonts w:ascii="Arial" w:eastAsiaTheme="minorHAnsi"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3FA7926"/>
    <w:multiLevelType w:val="hybridMultilevel"/>
    <w:tmpl w:val="D0BA1350"/>
    <w:lvl w:ilvl="0" w:tplc="8FE6DF9C">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nsid w:val="24B01A54"/>
    <w:multiLevelType w:val="hybridMultilevel"/>
    <w:tmpl w:val="70701110"/>
    <w:lvl w:ilvl="0" w:tplc="40CE9D6A">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9F4C09"/>
    <w:multiLevelType w:val="hybridMultilevel"/>
    <w:tmpl w:val="70EC721A"/>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272D32E9"/>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27E41CF2"/>
    <w:multiLevelType w:val="hybridMultilevel"/>
    <w:tmpl w:val="477249FA"/>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2EEC51DC"/>
    <w:multiLevelType w:val="hybridMultilevel"/>
    <w:tmpl w:val="625E4AE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2F8C431E"/>
    <w:multiLevelType w:val="hybridMultilevel"/>
    <w:tmpl w:val="26BECC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314C6464"/>
    <w:multiLevelType w:val="hybridMultilevel"/>
    <w:tmpl w:val="5E9842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nsid w:val="32260CCB"/>
    <w:multiLevelType w:val="hybridMultilevel"/>
    <w:tmpl w:val="DFCA0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23">
    <w:nsid w:val="394123B6"/>
    <w:multiLevelType w:val="hybridMultilevel"/>
    <w:tmpl w:val="00BCA55C"/>
    <w:lvl w:ilvl="0" w:tplc="808CDB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B9F1215"/>
    <w:multiLevelType w:val="hybridMultilevel"/>
    <w:tmpl w:val="DD327FF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3C07198A"/>
    <w:multiLevelType w:val="hybridMultilevel"/>
    <w:tmpl w:val="5D0872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CB4780E"/>
    <w:multiLevelType w:val="hybridMultilevel"/>
    <w:tmpl w:val="114CE844"/>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3DED7B36"/>
    <w:multiLevelType w:val="hybridMultilevel"/>
    <w:tmpl w:val="4F6A0EC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nsid w:val="443E523D"/>
    <w:multiLevelType w:val="hybridMultilevel"/>
    <w:tmpl w:val="4AFC22CA"/>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29">
    <w:nsid w:val="453C3EF4"/>
    <w:multiLevelType w:val="hybridMultilevel"/>
    <w:tmpl w:val="A1A0FC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4A5326E2"/>
    <w:multiLevelType w:val="hybridMultilevel"/>
    <w:tmpl w:val="9EEE96E4"/>
    <w:lvl w:ilvl="0" w:tplc="706692C8">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0767B66"/>
    <w:multiLevelType w:val="hybridMultilevel"/>
    <w:tmpl w:val="A8925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18A6989"/>
    <w:multiLevelType w:val="hybridMultilevel"/>
    <w:tmpl w:val="89586BF2"/>
    <w:lvl w:ilvl="0" w:tplc="40EAB5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4870653"/>
    <w:multiLevelType w:val="hybridMultilevel"/>
    <w:tmpl w:val="5B146B9A"/>
    <w:lvl w:ilvl="0" w:tplc="40CE9D6A">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7B46824"/>
    <w:multiLevelType w:val="hybridMultilevel"/>
    <w:tmpl w:val="0852A8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nsid w:val="5B9B1323"/>
    <w:multiLevelType w:val="hybridMultilevel"/>
    <w:tmpl w:val="9AA4124C"/>
    <w:lvl w:ilvl="0" w:tplc="08090001">
      <w:start w:val="1"/>
      <w:numFmt w:val="bullet"/>
      <w:lvlText w:val=""/>
      <w:lvlJc w:val="left"/>
      <w:pPr>
        <w:ind w:left="360" w:hanging="360"/>
      </w:pPr>
      <w:rPr>
        <w:rFonts w:ascii="Symbol" w:hAnsi="Symbol" w:hint="default"/>
      </w:rPr>
    </w:lvl>
    <w:lvl w:ilvl="1" w:tplc="2DEE7BE8">
      <w:numFmt w:val="bullet"/>
      <w:lvlText w:val="-"/>
      <w:lvlJc w:val="left"/>
      <w:pPr>
        <w:ind w:left="1080" w:hanging="360"/>
      </w:pPr>
      <w:rPr>
        <w:rFonts w:ascii="Arial" w:eastAsiaTheme="minorHAnsi"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nsid w:val="62A941F1"/>
    <w:multiLevelType w:val="hybridMultilevel"/>
    <w:tmpl w:val="0EF42526"/>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nsid w:val="66AC1E59"/>
    <w:multiLevelType w:val="hybridMultilevel"/>
    <w:tmpl w:val="87BA94A4"/>
    <w:lvl w:ilvl="0" w:tplc="1EF28B32">
      <w:numFmt w:val="bullet"/>
      <w:lvlText w:val="-"/>
      <w:lvlJc w:val="left"/>
      <w:pPr>
        <w:ind w:left="644" w:hanging="360"/>
      </w:pPr>
      <w:rPr>
        <w:rFonts w:ascii="Arial" w:eastAsiaTheme="minorHAnsi"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39">
    <w:nsid w:val="6B902F1B"/>
    <w:multiLevelType w:val="multilevel"/>
    <w:tmpl w:val="D396C21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6E7D7469"/>
    <w:multiLevelType w:val="multilevel"/>
    <w:tmpl w:val="214CD0FA"/>
    <w:lvl w:ilvl="0">
      <w:start w:val="1"/>
      <w:numFmt w:val="decimal"/>
      <w:lvlText w:val="%1."/>
      <w:lvlJc w:val="left"/>
      <w:pPr>
        <w:tabs>
          <w:tab w:val="num" w:pos="567"/>
        </w:tabs>
        <w:ind w:left="567" w:hanging="567"/>
      </w:pPr>
      <w:rPr>
        <w:rFonts w:hint="default"/>
      </w:rPr>
    </w:lvl>
    <w:lvl w:ilvl="1">
      <w:start w:val="3"/>
      <w:numFmt w:val="decimal"/>
      <w:lvlText w:val="%1.%2"/>
      <w:lvlJc w:val="left"/>
      <w:pPr>
        <w:tabs>
          <w:tab w:val="num" w:pos="567"/>
        </w:tabs>
        <w:ind w:left="567" w:hanging="567"/>
      </w:pPr>
      <w:rPr>
        <w:rFonts w:ascii="Times New Roman" w:hAnsi="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1CB4B61"/>
    <w:multiLevelType w:val="hybridMultilevel"/>
    <w:tmpl w:val="70D62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20A3802"/>
    <w:multiLevelType w:val="hybridMultilevel"/>
    <w:tmpl w:val="B980F634"/>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nsid w:val="78A82A63"/>
    <w:multiLevelType w:val="hybridMultilevel"/>
    <w:tmpl w:val="966AEE3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nsid w:val="7F647325"/>
    <w:multiLevelType w:val="hybridMultilevel"/>
    <w:tmpl w:val="33B8691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FB067DF"/>
    <w:multiLevelType w:val="multilevel"/>
    <w:tmpl w:val="E2ACA198"/>
    <w:lvl w:ilvl="0">
      <w:start w:val="2"/>
      <w:numFmt w:val="lowerRoman"/>
      <w:lvlText w:val="%1."/>
      <w:lvlJc w:val="righ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
  </w:num>
  <w:num w:numId="3">
    <w:abstractNumId w:val="13"/>
  </w:num>
  <w:num w:numId="4">
    <w:abstractNumId w:val="5"/>
  </w:num>
  <w:num w:numId="5">
    <w:abstractNumId w:val="20"/>
  </w:num>
  <w:num w:numId="6">
    <w:abstractNumId w:val="30"/>
  </w:num>
  <w:num w:numId="7">
    <w:abstractNumId w:val="44"/>
  </w:num>
  <w:num w:numId="8">
    <w:abstractNumId w:val="25"/>
  </w:num>
  <w:num w:numId="9">
    <w:abstractNumId w:val="45"/>
  </w:num>
  <w:num w:numId="10">
    <w:abstractNumId w:val="22"/>
  </w:num>
  <w:num w:numId="11">
    <w:abstractNumId w:val="6"/>
  </w:num>
  <w:num w:numId="12">
    <w:abstractNumId w:val="18"/>
  </w:num>
  <w:num w:numId="13">
    <w:abstractNumId w:val="11"/>
  </w:num>
  <w:num w:numId="14">
    <w:abstractNumId w:val="38"/>
  </w:num>
  <w:num w:numId="15">
    <w:abstractNumId w:val="10"/>
  </w:num>
  <w:num w:numId="16">
    <w:abstractNumId w:val="42"/>
  </w:num>
  <w:num w:numId="17">
    <w:abstractNumId w:val="22"/>
  </w:num>
  <w:num w:numId="18">
    <w:abstractNumId w:val="17"/>
  </w:num>
  <w:num w:numId="19">
    <w:abstractNumId w:val="24"/>
  </w:num>
  <w:num w:numId="20">
    <w:abstractNumId w:val="28"/>
  </w:num>
  <w:num w:numId="21">
    <w:abstractNumId w:val="1"/>
  </w:num>
  <w:num w:numId="22">
    <w:abstractNumId w:val="0"/>
  </w:num>
  <w:num w:numId="23">
    <w:abstractNumId w:val="21"/>
  </w:num>
  <w:num w:numId="24">
    <w:abstractNumId w:val="40"/>
  </w:num>
  <w:num w:numId="25">
    <w:abstractNumId w:val="31"/>
  </w:num>
  <w:num w:numId="26">
    <w:abstractNumId w:val="27"/>
  </w:num>
  <w:num w:numId="27">
    <w:abstractNumId w:val="37"/>
  </w:num>
  <w:num w:numId="28">
    <w:abstractNumId w:val="34"/>
  </w:num>
  <w:num w:numId="29">
    <w:abstractNumId w:val="33"/>
  </w:num>
  <w:num w:numId="30">
    <w:abstractNumId w:val="7"/>
  </w:num>
  <w:num w:numId="31">
    <w:abstractNumId w:val="14"/>
  </w:num>
  <w:num w:numId="32">
    <w:abstractNumId w:val="29"/>
  </w:num>
  <w:num w:numId="33">
    <w:abstractNumId w:val="12"/>
  </w:num>
  <w:num w:numId="34">
    <w:abstractNumId w:val="19"/>
  </w:num>
  <w:num w:numId="35">
    <w:abstractNumId w:val="35"/>
  </w:num>
  <w:num w:numId="36">
    <w:abstractNumId w:val="22"/>
  </w:num>
  <w:num w:numId="37">
    <w:abstractNumId w:val="36"/>
  </w:num>
  <w:num w:numId="38">
    <w:abstractNumId w:val="15"/>
  </w:num>
  <w:num w:numId="39">
    <w:abstractNumId w:val="8"/>
  </w:num>
  <w:num w:numId="40">
    <w:abstractNumId w:val="43"/>
  </w:num>
  <w:num w:numId="41">
    <w:abstractNumId w:val="26"/>
  </w:num>
  <w:num w:numId="42">
    <w:abstractNumId w:val="22"/>
  </w:num>
  <w:num w:numId="43">
    <w:abstractNumId w:val="22"/>
  </w:num>
  <w:num w:numId="44">
    <w:abstractNumId w:val="23"/>
  </w:num>
  <w:num w:numId="45">
    <w:abstractNumId w:val="32"/>
  </w:num>
  <w:num w:numId="46">
    <w:abstractNumId w:val="2"/>
  </w:num>
  <w:num w:numId="47">
    <w:abstractNumId w:val="9"/>
  </w:num>
  <w:num w:numId="48">
    <w:abstractNumId w:val="16"/>
  </w:num>
  <w:num w:numId="49">
    <w:abstractNumId w:val="39"/>
  </w:num>
  <w:num w:numId="50">
    <w:abstractNumId w:val="4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c Wambold">
    <w15:presenceInfo w15:providerId="None" w15:userId="Marc Wamb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25A66"/>
    <w:rsid w:val="00003A10"/>
    <w:rsid w:val="00005F3A"/>
    <w:rsid w:val="00006F7C"/>
    <w:rsid w:val="00015CAF"/>
    <w:rsid w:val="00017A7D"/>
    <w:rsid w:val="00021C12"/>
    <w:rsid w:val="00022A91"/>
    <w:rsid w:val="00022EB0"/>
    <w:rsid w:val="000260F5"/>
    <w:rsid w:val="00031A7B"/>
    <w:rsid w:val="00031F7A"/>
    <w:rsid w:val="000324FB"/>
    <w:rsid w:val="00032A84"/>
    <w:rsid w:val="00033F80"/>
    <w:rsid w:val="000348BC"/>
    <w:rsid w:val="0003741B"/>
    <w:rsid w:val="00040426"/>
    <w:rsid w:val="000407F5"/>
    <w:rsid w:val="00040C9E"/>
    <w:rsid w:val="000415E6"/>
    <w:rsid w:val="00041CEB"/>
    <w:rsid w:val="00044ACD"/>
    <w:rsid w:val="000536CE"/>
    <w:rsid w:val="00053852"/>
    <w:rsid w:val="000539A3"/>
    <w:rsid w:val="00054CA0"/>
    <w:rsid w:val="00055E36"/>
    <w:rsid w:val="00056A3B"/>
    <w:rsid w:val="000575DD"/>
    <w:rsid w:val="00060460"/>
    <w:rsid w:val="00060EFB"/>
    <w:rsid w:val="00061F86"/>
    <w:rsid w:val="0006456D"/>
    <w:rsid w:val="000648E2"/>
    <w:rsid w:val="00065268"/>
    <w:rsid w:val="0006576D"/>
    <w:rsid w:val="0006693E"/>
    <w:rsid w:val="00066EE0"/>
    <w:rsid w:val="000732BA"/>
    <w:rsid w:val="0007380A"/>
    <w:rsid w:val="000806EE"/>
    <w:rsid w:val="000817E5"/>
    <w:rsid w:val="00081B85"/>
    <w:rsid w:val="00082F17"/>
    <w:rsid w:val="00083FAD"/>
    <w:rsid w:val="000852E9"/>
    <w:rsid w:val="00087519"/>
    <w:rsid w:val="0008799C"/>
    <w:rsid w:val="00087ADD"/>
    <w:rsid w:val="00090BA2"/>
    <w:rsid w:val="00091224"/>
    <w:rsid w:val="00091FA8"/>
    <w:rsid w:val="000A0844"/>
    <w:rsid w:val="000A3FCB"/>
    <w:rsid w:val="000A51B4"/>
    <w:rsid w:val="000A5477"/>
    <w:rsid w:val="000A64B1"/>
    <w:rsid w:val="000A74D2"/>
    <w:rsid w:val="000A768B"/>
    <w:rsid w:val="000B2A72"/>
    <w:rsid w:val="000B2BA9"/>
    <w:rsid w:val="000B3664"/>
    <w:rsid w:val="000B4268"/>
    <w:rsid w:val="000B42A0"/>
    <w:rsid w:val="000B6FE5"/>
    <w:rsid w:val="000C0DB9"/>
    <w:rsid w:val="000C1631"/>
    <w:rsid w:val="000C185C"/>
    <w:rsid w:val="000C1974"/>
    <w:rsid w:val="000C4F4D"/>
    <w:rsid w:val="000C6B77"/>
    <w:rsid w:val="000D3036"/>
    <w:rsid w:val="000D4AD3"/>
    <w:rsid w:val="000D4EE1"/>
    <w:rsid w:val="000E2851"/>
    <w:rsid w:val="000F05E1"/>
    <w:rsid w:val="000F10F3"/>
    <w:rsid w:val="000F2C95"/>
    <w:rsid w:val="000F5097"/>
    <w:rsid w:val="000F5ABE"/>
    <w:rsid w:val="00100346"/>
    <w:rsid w:val="00100655"/>
    <w:rsid w:val="00102F8E"/>
    <w:rsid w:val="00103261"/>
    <w:rsid w:val="0010358B"/>
    <w:rsid w:val="001036F6"/>
    <w:rsid w:val="00103A7E"/>
    <w:rsid w:val="00106307"/>
    <w:rsid w:val="001066E2"/>
    <w:rsid w:val="00107665"/>
    <w:rsid w:val="00110E74"/>
    <w:rsid w:val="001111F8"/>
    <w:rsid w:val="00111D04"/>
    <w:rsid w:val="001127CA"/>
    <w:rsid w:val="001136EB"/>
    <w:rsid w:val="00115220"/>
    <w:rsid w:val="001164A5"/>
    <w:rsid w:val="0011712A"/>
    <w:rsid w:val="001223E3"/>
    <w:rsid w:val="001235B3"/>
    <w:rsid w:val="001246A8"/>
    <w:rsid w:val="00127BC6"/>
    <w:rsid w:val="0013068B"/>
    <w:rsid w:val="0013093D"/>
    <w:rsid w:val="001314C1"/>
    <w:rsid w:val="001328DC"/>
    <w:rsid w:val="00132A6A"/>
    <w:rsid w:val="0013304F"/>
    <w:rsid w:val="00136E26"/>
    <w:rsid w:val="00140223"/>
    <w:rsid w:val="00140242"/>
    <w:rsid w:val="001425C6"/>
    <w:rsid w:val="00146D3B"/>
    <w:rsid w:val="00146E6B"/>
    <w:rsid w:val="00150DF4"/>
    <w:rsid w:val="0015707A"/>
    <w:rsid w:val="001648FE"/>
    <w:rsid w:val="001664F2"/>
    <w:rsid w:val="00167579"/>
    <w:rsid w:val="001723B7"/>
    <w:rsid w:val="001738F3"/>
    <w:rsid w:val="00174455"/>
    <w:rsid w:val="001745F8"/>
    <w:rsid w:val="001746C0"/>
    <w:rsid w:val="00174B4E"/>
    <w:rsid w:val="00174EDA"/>
    <w:rsid w:val="001751B0"/>
    <w:rsid w:val="00177FD1"/>
    <w:rsid w:val="00183781"/>
    <w:rsid w:val="001861EF"/>
    <w:rsid w:val="001861F6"/>
    <w:rsid w:val="00187011"/>
    <w:rsid w:val="00187DAF"/>
    <w:rsid w:val="00190098"/>
    <w:rsid w:val="00190C3C"/>
    <w:rsid w:val="00196147"/>
    <w:rsid w:val="0019731B"/>
    <w:rsid w:val="001A056B"/>
    <w:rsid w:val="001A08C6"/>
    <w:rsid w:val="001A1525"/>
    <w:rsid w:val="001A24CA"/>
    <w:rsid w:val="001A2877"/>
    <w:rsid w:val="001A3CEE"/>
    <w:rsid w:val="001A4D09"/>
    <w:rsid w:val="001A59E7"/>
    <w:rsid w:val="001A6938"/>
    <w:rsid w:val="001A7C08"/>
    <w:rsid w:val="001B0784"/>
    <w:rsid w:val="001B295E"/>
    <w:rsid w:val="001B2DEA"/>
    <w:rsid w:val="001B3496"/>
    <w:rsid w:val="001B6CF4"/>
    <w:rsid w:val="001C0222"/>
    <w:rsid w:val="001C0E38"/>
    <w:rsid w:val="001C1BAE"/>
    <w:rsid w:val="001C1DBD"/>
    <w:rsid w:val="001C35C5"/>
    <w:rsid w:val="001C43F8"/>
    <w:rsid w:val="001C4A9E"/>
    <w:rsid w:val="001C5C40"/>
    <w:rsid w:val="001C63F7"/>
    <w:rsid w:val="001C64A8"/>
    <w:rsid w:val="001C69AB"/>
    <w:rsid w:val="001D2A0D"/>
    <w:rsid w:val="001D3B60"/>
    <w:rsid w:val="001D3E85"/>
    <w:rsid w:val="001D611F"/>
    <w:rsid w:val="001D645D"/>
    <w:rsid w:val="001D7A4B"/>
    <w:rsid w:val="001E0A1A"/>
    <w:rsid w:val="001E181A"/>
    <w:rsid w:val="001E1CFA"/>
    <w:rsid w:val="001E1F9B"/>
    <w:rsid w:val="001E329F"/>
    <w:rsid w:val="001E3C72"/>
    <w:rsid w:val="001E3E9F"/>
    <w:rsid w:val="001E6E27"/>
    <w:rsid w:val="001E7B0B"/>
    <w:rsid w:val="001E7F0D"/>
    <w:rsid w:val="001F02D0"/>
    <w:rsid w:val="001F0A2B"/>
    <w:rsid w:val="001F1AA9"/>
    <w:rsid w:val="001F2B9B"/>
    <w:rsid w:val="001F4EB6"/>
    <w:rsid w:val="001F52AC"/>
    <w:rsid w:val="001F6608"/>
    <w:rsid w:val="001F695D"/>
    <w:rsid w:val="001F7220"/>
    <w:rsid w:val="00205D43"/>
    <w:rsid w:val="00205E95"/>
    <w:rsid w:val="002062BE"/>
    <w:rsid w:val="00207A13"/>
    <w:rsid w:val="00212DF5"/>
    <w:rsid w:val="002160F2"/>
    <w:rsid w:val="00217175"/>
    <w:rsid w:val="00220214"/>
    <w:rsid w:val="00220B24"/>
    <w:rsid w:val="002259E7"/>
    <w:rsid w:val="00225AD8"/>
    <w:rsid w:val="00226BE0"/>
    <w:rsid w:val="00230BFA"/>
    <w:rsid w:val="00231001"/>
    <w:rsid w:val="002311BA"/>
    <w:rsid w:val="00231E14"/>
    <w:rsid w:val="002320A9"/>
    <w:rsid w:val="00233C32"/>
    <w:rsid w:val="00236092"/>
    <w:rsid w:val="00236321"/>
    <w:rsid w:val="002374DD"/>
    <w:rsid w:val="00237DB3"/>
    <w:rsid w:val="00240393"/>
    <w:rsid w:val="0024040D"/>
    <w:rsid w:val="00247C65"/>
    <w:rsid w:val="0025074A"/>
    <w:rsid w:val="00252E69"/>
    <w:rsid w:val="002534BD"/>
    <w:rsid w:val="0025666D"/>
    <w:rsid w:val="002569CD"/>
    <w:rsid w:val="002579D1"/>
    <w:rsid w:val="00261386"/>
    <w:rsid w:val="002620DD"/>
    <w:rsid w:val="00263937"/>
    <w:rsid w:val="00266E37"/>
    <w:rsid w:val="0027022D"/>
    <w:rsid w:val="00270C14"/>
    <w:rsid w:val="00271216"/>
    <w:rsid w:val="00271D43"/>
    <w:rsid w:val="00276A65"/>
    <w:rsid w:val="00276D65"/>
    <w:rsid w:val="00277537"/>
    <w:rsid w:val="002778B9"/>
    <w:rsid w:val="00281294"/>
    <w:rsid w:val="002821ED"/>
    <w:rsid w:val="0028296B"/>
    <w:rsid w:val="00283D91"/>
    <w:rsid w:val="0028452B"/>
    <w:rsid w:val="00291214"/>
    <w:rsid w:val="00291DCD"/>
    <w:rsid w:val="00293598"/>
    <w:rsid w:val="00294027"/>
    <w:rsid w:val="00294EF2"/>
    <w:rsid w:val="00295FFC"/>
    <w:rsid w:val="002968EE"/>
    <w:rsid w:val="0029792C"/>
    <w:rsid w:val="002A040C"/>
    <w:rsid w:val="002A14B3"/>
    <w:rsid w:val="002A232E"/>
    <w:rsid w:val="002A470F"/>
    <w:rsid w:val="002A4DF6"/>
    <w:rsid w:val="002B0D0D"/>
    <w:rsid w:val="002B2C7E"/>
    <w:rsid w:val="002B2D2A"/>
    <w:rsid w:val="002B3FE3"/>
    <w:rsid w:val="002B74A6"/>
    <w:rsid w:val="002C0C91"/>
    <w:rsid w:val="002C17B3"/>
    <w:rsid w:val="002C4D92"/>
    <w:rsid w:val="002C7CAA"/>
    <w:rsid w:val="002D0F48"/>
    <w:rsid w:val="002D154A"/>
    <w:rsid w:val="002D4182"/>
    <w:rsid w:val="002D5B09"/>
    <w:rsid w:val="002D6386"/>
    <w:rsid w:val="002D6DE5"/>
    <w:rsid w:val="002E17F1"/>
    <w:rsid w:val="002E4288"/>
    <w:rsid w:val="002E5419"/>
    <w:rsid w:val="002E55BD"/>
    <w:rsid w:val="002E5B16"/>
    <w:rsid w:val="002E7E8D"/>
    <w:rsid w:val="0030105D"/>
    <w:rsid w:val="00301151"/>
    <w:rsid w:val="003028CC"/>
    <w:rsid w:val="003036A2"/>
    <w:rsid w:val="00303DA6"/>
    <w:rsid w:val="00304176"/>
    <w:rsid w:val="00305BFC"/>
    <w:rsid w:val="00313B99"/>
    <w:rsid w:val="003151A8"/>
    <w:rsid w:val="00321131"/>
    <w:rsid w:val="003216C4"/>
    <w:rsid w:val="00321BF8"/>
    <w:rsid w:val="00321E04"/>
    <w:rsid w:val="00321FEC"/>
    <w:rsid w:val="00322211"/>
    <w:rsid w:val="0032242A"/>
    <w:rsid w:val="00323124"/>
    <w:rsid w:val="003250C7"/>
    <w:rsid w:val="00325EC7"/>
    <w:rsid w:val="00326C60"/>
    <w:rsid w:val="0033098B"/>
    <w:rsid w:val="0033234E"/>
    <w:rsid w:val="00334449"/>
    <w:rsid w:val="00336209"/>
    <w:rsid w:val="00336D79"/>
    <w:rsid w:val="00341F35"/>
    <w:rsid w:val="00342394"/>
    <w:rsid w:val="00344380"/>
    <w:rsid w:val="0034486C"/>
    <w:rsid w:val="00344D30"/>
    <w:rsid w:val="00346349"/>
    <w:rsid w:val="0035132A"/>
    <w:rsid w:val="003514D7"/>
    <w:rsid w:val="003518C3"/>
    <w:rsid w:val="00351CB5"/>
    <w:rsid w:val="003527DF"/>
    <w:rsid w:val="003535F6"/>
    <w:rsid w:val="003555A3"/>
    <w:rsid w:val="0035689D"/>
    <w:rsid w:val="0035774C"/>
    <w:rsid w:val="00361B2A"/>
    <w:rsid w:val="0036558C"/>
    <w:rsid w:val="00366F51"/>
    <w:rsid w:val="0037089F"/>
    <w:rsid w:val="003769A3"/>
    <w:rsid w:val="00376D6E"/>
    <w:rsid w:val="003775C5"/>
    <w:rsid w:val="00377670"/>
    <w:rsid w:val="003802BF"/>
    <w:rsid w:val="00380413"/>
    <w:rsid w:val="00380578"/>
    <w:rsid w:val="00382745"/>
    <w:rsid w:val="00383BDC"/>
    <w:rsid w:val="003844A6"/>
    <w:rsid w:val="0038678D"/>
    <w:rsid w:val="00391691"/>
    <w:rsid w:val="00391B0E"/>
    <w:rsid w:val="00392C07"/>
    <w:rsid w:val="00392C5C"/>
    <w:rsid w:val="00393880"/>
    <w:rsid w:val="00397B4C"/>
    <w:rsid w:val="003A18BD"/>
    <w:rsid w:val="003A37BD"/>
    <w:rsid w:val="003A4AD3"/>
    <w:rsid w:val="003A5E7D"/>
    <w:rsid w:val="003B34FC"/>
    <w:rsid w:val="003B4D8B"/>
    <w:rsid w:val="003B559D"/>
    <w:rsid w:val="003B611D"/>
    <w:rsid w:val="003B7FC4"/>
    <w:rsid w:val="003C0A98"/>
    <w:rsid w:val="003C27CC"/>
    <w:rsid w:val="003C2842"/>
    <w:rsid w:val="003C3A9C"/>
    <w:rsid w:val="003C5D81"/>
    <w:rsid w:val="003C66C9"/>
    <w:rsid w:val="003D0999"/>
    <w:rsid w:val="003D3951"/>
    <w:rsid w:val="003D4486"/>
    <w:rsid w:val="003D5155"/>
    <w:rsid w:val="003D6229"/>
    <w:rsid w:val="003D74F6"/>
    <w:rsid w:val="003E181E"/>
    <w:rsid w:val="003E3A12"/>
    <w:rsid w:val="003E43A9"/>
    <w:rsid w:val="003E4D65"/>
    <w:rsid w:val="003E6A6F"/>
    <w:rsid w:val="003E6B6D"/>
    <w:rsid w:val="003F02AD"/>
    <w:rsid w:val="003F0C32"/>
    <w:rsid w:val="003F1986"/>
    <w:rsid w:val="003F1B6B"/>
    <w:rsid w:val="003F2C3C"/>
    <w:rsid w:val="003F4820"/>
    <w:rsid w:val="003F77C6"/>
    <w:rsid w:val="00403C43"/>
    <w:rsid w:val="0041368B"/>
    <w:rsid w:val="00415B9C"/>
    <w:rsid w:val="00416EFE"/>
    <w:rsid w:val="00420AFB"/>
    <w:rsid w:val="00423BDF"/>
    <w:rsid w:val="00425E5C"/>
    <w:rsid w:val="00426E22"/>
    <w:rsid w:val="0043075B"/>
    <w:rsid w:val="00432700"/>
    <w:rsid w:val="004332C8"/>
    <w:rsid w:val="0043414C"/>
    <w:rsid w:val="00435CA0"/>
    <w:rsid w:val="004362D8"/>
    <w:rsid w:val="00440B0E"/>
    <w:rsid w:val="00440D98"/>
    <w:rsid w:val="0044153D"/>
    <w:rsid w:val="004442FC"/>
    <w:rsid w:val="004446E2"/>
    <w:rsid w:val="0044515B"/>
    <w:rsid w:val="00447F9F"/>
    <w:rsid w:val="00450147"/>
    <w:rsid w:val="00450DFD"/>
    <w:rsid w:val="00452FA7"/>
    <w:rsid w:val="00454ACD"/>
    <w:rsid w:val="00456478"/>
    <w:rsid w:val="00456A9F"/>
    <w:rsid w:val="00461D7B"/>
    <w:rsid w:val="00462963"/>
    <w:rsid w:val="00462B2F"/>
    <w:rsid w:val="00463557"/>
    <w:rsid w:val="00464F27"/>
    <w:rsid w:val="004653D2"/>
    <w:rsid w:val="004679E7"/>
    <w:rsid w:val="00473296"/>
    <w:rsid w:val="004740E7"/>
    <w:rsid w:val="00475A06"/>
    <w:rsid w:val="00477440"/>
    <w:rsid w:val="00477583"/>
    <w:rsid w:val="004779C5"/>
    <w:rsid w:val="0048044D"/>
    <w:rsid w:val="00480AC4"/>
    <w:rsid w:val="0048172C"/>
    <w:rsid w:val="004820D4"/>
    <w:rsid w:val="00482CE1"/>
    <w:rsid w:val="004866D8"/>
    <w:rsid w:val="00491F18"/>
    <w:rsid w:val="00492779"/>
    <w:rsid w:val="00492B78"/>
    <w:rsid w:val="00494998"/>
    <w:rsid w:val="0049675C"/>
    <w:rsid w:val="0049680C"/>
    <w:rsid w:val="0049698A"/>
    <w:rsid w:val="00496AA5"/>
    <w:rsid w:val="004A1851"/>
    <w:rsid w:val="004A3671"/>
    <w:rsid w:val="004A4D1A"/>
    <w:rsid w:val="004A6679"/>
    <w:rsid w:val="004A7788"/>
    <w:rsid w:val="004B1CFB"/>
    <w:rsid w:val="004B4308"/>
    <w:rsid w:val="004B524E"/>
    <w:rsid w:val="004C4E5B"/>
    <w:rsid w:val="004C5515"/>
    <w:rsid w:val="004C62B2"/>
    <w:rsid w:val="004C7850"/>
    <w:rsid w:val="004C7C8F"/>
    <w:rsid w:val="004D2ADF"/>
    <w:rsid w:val="004D3B4E"/>
    <w:rsid w:val="004D48DA"/>
    <w:rsid w:val="004D6602"/>
    <w:rsid w:val="004D78C2"/>
    <w:rsid w:val="004E1360"/>
    <w:rsid w:val="004E4F52"/>
    <w:rsid w:val="004E66E2"/>
    <w:rsid w:val="004E785B"/>
    <w:rsid w:val="004F0BF1"/>
    <w:rsid w:val="004F15AF"/>
    <w:rsid w:val="004F6451"/>
    <w:rsid w:val="004F72BB"/>
    <w:rsid w:val="004F72FF"/>
    <w:rsid w:val="00502BEC"/>
    <w:rsid w:val="00503718"/>
    <w:rsid w:val="005039AE"/>
    <w:rsid w:val="005057C6"/>
    <w:rsid w:val="005064B9"/>
    <w:rsid w:val="00507E9D"/>
    <w:rsid w:val="00511D3B"/>
    <w:rsid w:val="005164E6"/>
    <w:rsid w:val="005227D4"/>
    <w:rsid w:val="0052400B"/>
    <w:rsid w:val="00530D01"/>
    <w:rsid w:val="005336FB"/>
    <w:rsid w:val="00533CB4"/>
    <w:rsid w:val="0053670C"/>
    <w:rsid w:val="00536E7B"/>
    <w:rsid w:val="005376CF"/>
    <w:rsid w:val="0054020E"/>
    <w:rsid w:val="005417F7"/>
    <w:rsid w:val="00541A7F"/>
    <w:rsid w:val="00546402"/>
    <w:rsid w:val="0054725A"/>
    <w:rsid w:val="00551321"/>
    <w:rsid w:val="00552B49"/>
    <w:rsid w:val="00552DD1"/>
    <w:rsid w:val="00554C3F"/>
    <w:rsid w:val="005551A2"/>
    <w:rsid w:val="005574BE"/>
    <w:rsid w:val="00564A41"/>
    <w:rsid w:val="005673BB"/>
    <w:rsid w:val="00567EE4"/>
    <w:rsid w:val="005705FD"/>
    <w:rsid w:val="00571A37"/>
    <w:rsid w:val="00571E53"/>
    <w:rsid w:val="00572E00"/>
    <w:rsid w:val="005735ED"/>
    <w:rsid w:val="00573CE0"/>
    <w:rsid w:val="00574DAF"/>
    <w:rsid w:val="005760CE"/>
    <w:rsid w:val="00584FDE"/>
    <w:rsid w:val="00591A7A"/>
    <w:rsid w:val="00591E1D"/>
    <w:rsid w:val="00592460"/>
    <w:rsid w:val="005938DE"/>
    <w:rsid w:val="00594A1B"/>
    <w:rsid w:val="005959D0"/>
    <w:rsid w:val="005959D6"/>
    <w:rsid w:val="00597F7A"/>
    <w:rsid w:val="005A2384"/>
    <w:rsid w:val="005A2C81"/>
    <w:rsid w:val="005A2D08"/>
    <w:rsid w:val="005A43F5"/>
    <w:rsid w:val="005A4A21"/>
    <w:rsid w:val="005A5A5A"/>
    <w:rsid w:val="005B3271"/>
    <w:rsid w:val="005B4786"/>
    <w:rsid w:val="005B5CA5"/>
    <w:rsid w:val="005B7DF0"/>
    <w:rsid w:val="005C134E"/>
    <w:rsid w:val="005C2783"/>
    <w:rsid w:val="005C58C4"/>
    <w:rsid w:val="005D1890"/>
    <w:rsid w:val="005D2745"/>
    <w:rsid w:val="005D3202"/>
    <w:rsid w:val="005D3484"/>
    <w:rsid w:val="005D4E70"/>
    <w:rsid w:val="005D645F"/>
    <w:rsid w:val="005D7DED"/>
    <w:rsid w:val="005E04B1"/>
    <w:rsid w:val="005E1314"/>
    <w:rsid w:val="005E2CF8"/>
    <w:rsid w:val="005E47E7"/>
    <w:rsid w:val="005E7AD7"/>
    <w:rsid w:val="005E7D5E"/>
    <w:rsid w:val="005F08E7"/>
    <w:rsid w:val="005F0EA5"/>
    <w:rsid w:val="005F106D"/>
    <w:rsid w:val="005F4DE0"/>
    <w:rsid w:val="005F6B3C"/>
    <w:rsid w:val="006024D8"/>
    <w:rsid w:val="00602893"/>
    <w:rsid w:val="00603DFE"/>
    <w:rsid w:val="00604002"/>
    <w:rsid w:val="00605228"/>
    <w:rsid w:val="00605D16"/>
    <w:rsid w:val="00606439"/>
    <w:rsid w:val="006069F6"/>
    <w:rsid w:val="006111F8"/>
    <w:rsid w:val="00614A5E"/>
    <w:rsid w:val="006155EE"/>
    <w:rsid w:val="006225EA"/>
    <w:rsid w:val="00625908"/>
    <w:rsid w:val="00625A66"/>
    <w:rsid w:val="00627113"/>
    <w:rsid w:val="00632E59"/>
    <w:rsid w:val="00633844"/>
    <w:rsid w:val="0063475B"/>
    <w:rsid w:val="00634904"/>
    <w:rsid w:val="0063515A"/>
    <w:rsid w:val="0063564D"/>
    <w:rsid w:val="00641693"/>
    <w:rsid w:val="00642750"/>
    <w:rsid w:val="006453AF"/>
    <w:rsid w:val="00645909"/>
    <w:rsid w:val="00650562"/>
    <w:rsid w:val="006510A0"/>
    <w:rsid w:val="00654661"/>
    <w:rsid w:val="006550A4"/>
    <w:rsid w:val="00661627"/>
    <w:rsid w:val="00663BA3"/>
    <w:rsid w:val="006648DC"/>
    <w:rsid w:val="00666D5B"/>
    <w:rsid w:val="00667BDA"/>
    <w:rsid w:val="00670133"/>
    <w:rsid w:val="00671684"/>
    <w:rsid w:val="00674C2F"/>
    <w:rsid w:val="00677C02"/>
    <w:rsid w:val="00685959"/>
    <w:rsid w:val="00685A3D"/>
    <w:rsid w:val="006863FE"/>
    <w:rsid w:val="00687307"/>
    <w:rsid w:val="0069072A"/>
    <w:rsid w:val="006927C6"/>
    <w:rsid w:val="0069428B"/>
    <w:rsid w:val="006948A2"/>
    <w:rsid w:val="00695956"/>
    <w:rsid w:val="00697D80"/>
    <w:rsid w:val="006A041C"/>
    <w:rsid w:val="006A1575"/>
    <w:rsid w:val="006A1637"/>
    <w:rsid w:val="006A50C1"/>
    <w:rsid w:val="006A558E"/>
    <w:rsid w:val="006A5A14"/>
    <w:rsid w:val="006A5F04"/>
    <w:rsid w:val="006A5FCD"/>
    <w:rsid w:val="006B1D0A"/>
    <w:rsid w:val="006B2699"/>
    <w:rsid w:val="006B639E"/>
    <w:rsid w:val="006B6AF6"/>
    <w:rsid w:val="006B6C4E"/>
    <w:rsid w:val="006B7F57"/>
    <w:rsid w:val="006C013B"/>
    <w:rsid w:val="006C0F03"/>
    <w:rsid w:val="006C1FA0"/>
    <w:rsid w:val="006C2979"/>
    <w:rsid w:val="006C2AE9"/>
    <w:rsid w:val="006C447B"/>
    <w:rsid w:val="006C6CBD"/>
    <w:rsid w:val="006D28BA"/>
    <w:rsid w:val="006D3EE8"/>
    <w:rsid w:val="006D6907"/>
    <w:rsid w:val="006D7307"/>
    <w:rsid w:val="006D73A5"/>
    <w:rsid w:val="006D75E0"/>
    <w:rsid w:val="006E03D1"/>
    <w:rsid w:val="006E1162"/>
    <w:rsid w:val="006E1C0F"/>
    <w:rsid w:val="006E321D"/>
    <w:rsid w:val="006E7094"/>
    <w:rsid w:val="006F053A"/>
    <w:rsid w:val="006F267A"/>
    <w:rsid w:val="006F2F61"/>
    <w:rsid w:val="006F447D"/>
    <w:rsid w:val="006F6DC5"/>
    <w:rsid w:val="006F7519"/>
    <w:rsid w:val="007006E8"/>
    <w:rsid w:val="0070597D"/>
    <w:rsid w:val="00705CFA"/>
    <w:rsid w:val="00707A36"/>
    <w:rsid w:val="007128B8"/>
    <w:rsid w:val="00715EF8"/>
    <w:rsid w:val="0071655F"/>
    <w:rsid w:val="007175B6"/>
    <w:rsid w:val="0072010F"/>
    <w:rsid w:val="00720346"/>
    <w:rsid w:val="00720616"/>
    <w:rsid w:val="00720F9C"/>
    <w:rsid w:val="007214BD"/>
    <w:rsid w:val="00724165"/>
    <w:rsid w:val="00727611"/>
    <w:rsid w:val="0073171A"/>
    <w:rsid w:val="007350CF"/>
    <w:rsid w:val="0073726C"/>
    <w:rsid w:val="007379D8"/>
    <w:rsid w:val="0074312C"/>
    <w:rsid w:val="00743869"/>
    <w:rsid w:val="00743996"/>
    <w:rsid w:val="00750CA4"/>
    <w:rsid w:val="007514D0"/>
    <w:rsid w:val="007517A8"/>
    <w:rsid w:val="00751844"/>
    <w:rsid w:val="00753061"/>
    <w:rsid w:val="00757851"/>
    <w:rsid w:val="00760191"/>
    <w:rsid w:val="00765619"/>
    <w:rsid w:val="00770C53"/>
    <w:rsid w:val="00771AC8"/>
    <w:rsid w:val="00771F74"/>
    <w:rsid w:val="007730D3"/>
    <w:rsid w:val="00773D3F"/>
    <w:rsid w:val="0078271A"/>
    <w:rsid w:val="0078455F"/>
    <w:rsid w:val="007937F2"/>
    <w:rsid w:val="00796F19"/>
    <w:rsid w:val="007A0208"/>
    <w:rsid w:val="007A0FD9"/>
    <w:rsid w:val="007A18E7"/>
    <w:rsid w:val="007A1FE6"/>
    <w:rsid w:val="007A278C"/>
    <w:rsid w:val="007A2D52"/>
    <w:rsid w:val="007A719B"/>
    <w:rsid w:val="007A7C63"/>
    <w:rsid w:val="007B0C94"/>
    <w:rsid w:val="007B270B"/>
    <w:rsid w:val="007B30B1"/>
    <w:rsid w:val="007B3742"/>
    <w:rsid w:val="007B4C91"/>
    <w:rsid w:val="007B64BA"/>
    <w:rsid w:val="007C3462"/>
    <w:rsid w:val="007C5540"/>
    <w:rsid w:val="007D0E39"/>
    <w:rsid w:val="007D2607"/>
    <w:rsid w:val="007D29A8"/>
    <w:rsid w:val="007D45F9"/>
    <w:rsid w:val="007D6CF3"/>
    <w:rsid w:val="007E0568"/>
    <w:rsid w:val="007E7675"/>
    <w:rsid w:val="007E7B0A"/>
    <w:rsid w:val="007F26CA"/>
    <w:rsid w:val="007F293F"/>
    <w:rsid w:val="007F69B3"/>
    <w:rsid w:val="007F6E3E"/>
    <w:rsid w:val="007F7E2A"/>
    <w:rsid w:val="00806B68"/>
    <w:rsid w:val="00807962"/>
    <w:rsid w:val="00810D8B"/>
    <w:rsid w:val="0081219D"/>
    <w:rsid w:val="00812DC0"/>
    <w:rsid w:val="00812E10"/>
    <w:rsid w:val="00813F47"/>
    <w:rsid w:val="0081517A"/>
    <w:rsid w:val="00815641"/>
    <w:rsid w:val="00815997"/>
    <w:rsid w:val="00816FCA"/>
    <w:rsid w:val="00817A6C"/>
    <w:rsid w:val="00820062"/>
    <w:rsid w:val="00821F4F"/>
    <w:rsid w:val="00822694"/>
    <w:rsid w:val="00822E1F"/>
    <w:rsid w:val="00825D6C"/>
    <w:rsid w:val="00826A21"/>
    <w:rsid w:val="00826EC6"/>
    <w:rsid w:val="008272F8"/>
    <w:rsid w:val="008302D2"/>
    <w:rsid w:val="00832125"/>
    <w:rsid w:val="008326C2"/>
    <w:rsid w:val="008364A5"/>
    <w:rsid w:val="00836C84"/>
    <w:rsid w:val="008377C5"/>
    <w:rsid w:val="00843A3C"/>
    <w:rsid w:val="0084463C"/>
    <w:rsid w:val="00845630"/>
    <w:rsid w:val="00846AF9"/>
    <w:rsid w:val="008508FC"/>
    <w:rsid w:val="00850B04"/>
    <w:rsid w:val="0085596B"/>
    <w:rsid w:val="00857343"/>
    <w:rsid w:val="0086275E"/>
    <w:rsid w:val="00867AB6"/>
    <w:rsid w:val="008708EC"/>
    <w:rsid w:val="00870CE1"/>
    <w:rsid w:val="00873800"/>
    <w:rsid w:val="00873CF5"/>
    <w:rsid w:val="008753DA"/>
    <w:rsid w:val="00876368"/>
    <w:rsid w:val="00877938"/>
    <w:rsid w:val="00877E45"/>
    <w:rsid w:val="0088038A"/>
    <w:rsid w:val="00881B0E"/>
    <w:rsid w:val="00881F61"/>
    <w:rsid w:val="008844AC"/>
    <w:rsid w:val="00887054"/>
    <w:rsid w:val="00887127"/>
    <w:rsid w:val="00890C64"/>
    <w:rsid w:val="00892422"/>
    <w:rsid w:val="0089464B"/>
    <w:rsid w:val="00894776"/>
    <w:rsid w:val="008A038D"/>
    <w:rsid w:val="008A1D43"/>
    <w:rsid w:val="008A2048"/>
    <w:rsid w:val="008A49FB"/>
    <w:rsid w:val="008A4F98"/>
    <w:rsid w:val="008A618D"/>
    <w:rsid w:val="008A65AD"/>
    <w:rsid w:val="008A769F"/>
    <w:rsid w:val="008B0EF8"/>
    <w:rsid w:val="008B2255"/>
    <w:rsid w:val="008B258A"/>
    <w:rsid w:val="008B3EB0"/>
    <w:rsid w:val="008B4172"/>
    <w:rsid w:val="008B4EE6"/>
    <w:rsid w:val="008B6A8D"/>
    <w:rsid w:val="008C089C"/>
    <w:rsid w:val="008C1EBD"/>
    <w:rsid w:val="008C2574"/>
    <w:rsid w:val="008C5600"/>
    <w:rsid w:val="008C5C12"/>
    <w:rsid w:val="008C7D53"/>
    <w:rsid w:val="008D436B"/>
    <w:rsid w:val="008D496E"/>
    <w:rsid w:val="008D5D96"/>
    <w:rsid w:val="008D5E91"/>
    <w:rsid w:val="008D73F1"/>
    <w:rsid w:val="008E2626"/>
    <w:rsid w:val="008E4750"/>
    <w:rsid w:val="008E63A8"/>
    <w:rsid w:val="008E6A45"/>
    <w:rsid w:val="008F0790"/>
    <w:rsid w:val="008F1C3B"/>
    <w:rsid w:val="008F2363"/>
    <w:rsid w:val="008F278C"/>
    <w:rsid w:val="008F3A74"/>
    <w:rsid w:val="008F4191"/>
    <w:rsid w:val="008F5C82"/>
    <w:rsid w:val="009000F6"/>
    <w:rsid w:val="0090414B"/>
    <w:rsid w:val="00904938"/>
    <w:rsid w:val="00905CCE"/>
    <w:rsid w:val="009112F0"/>
    <w:rsid w:val="00913EB5"/>
    <w:rsid w:val="0091444E"/>
    <w:rsid w:val="00914722"/>
    <w:rsid w:val="0091570E"/>
    <w:rsid w:val="00916009"/>
    <w:rsid w:val="009165B9"/>
    <w:rsid w:val="00920469"/>
    <w:rsid w:val="00920470"/>
    <w:rsid w:val="00920EE0"/>
    <w:rsid w:val="00921173"/>
    <w:rsid w:val="00921646"/>
    <w:rsid w:val="00923A3E"/>
    <w:rsid w:val="00924C92"/>
    <w:rsid w:val="0092714A"/>
    <w:rsid w:val="0093004E"/>
    <w:rsid w:val="00930346"/>
    <w:rsid w:val="00935554"/>
    <w:rsid w:val="00943577"/>
    <w:rsid w:val="00943776"/>
    <w:rsid w:val="009447C9"/>
    <w:rsid w:val="0094661C"/>
    <w:rsid w:val="009476C6"/>
    <w:rsid w:val="00947AC2"/>
    <w:rsid w:val="00947DAE"/>
    <w:rsid w:val="00957F04"/>
    <w:rsid w:val="0096364B"/>
    <w:rsid w:val="0096368A"/>
    <w:rsid w:val="00964A25"/>
    <w:rsid w:val="00966027"/>
    <w:rsid w:val="00971A76"/>
    <w:rsid w:val="00971D39"/>
    <w:rsid w:val="00973163"/>
    <w:rsid w:val="00974F79"/>
    <w:rsid w:val="00975452"/>
    <w:rsid w:val="009808A0"/>
    <w:rsid w:val="00980E4D"/>
    <w:rsid w:val="0098483A"/>
    <w:rsid w:val="0098498F"/>
    <w:rsid w:val="00986ABA"/>
    <w:rsid w:val="00987CD3"/>
    <w:rsid w:val="00991C03"/>
    <w:rsid w:val="0099249B"/>
    <w:rsid w:val="00992D20"/>
    <w:rsid w:val="00994C51"/>
    <w:rsid w:val="00995E8E"/>
    <w:rsid w:val="00997168"/>
    <w:rsid w:val="009975FF"/>
    <w:rsid w:val="00997A87"/>
    <w:rsid w:val="009A04A6"/>
    <w:rsid w:val="009A0F7D"/>
    <w:rsid w:val="009A6790"/>
    <w:rsid w:val="009A6C74"/>
    <w:rsid w:val="009A77A8"/>
    <w:rsid w:val="009B729D"/>
    <w:rsid w:val="009C2AF0"/>
    <w:rsid w:val="009C4DEC"/>
    <w:rsid w:val="009C51EF"/>
    <w:rsid w:val="009C659A"/>
    <w:rsid w:val="009C6BC2"/>
    <w:rsid w:val="009D3A7B"/>
    <w:rsid w:val="009D3BCC"/>
    <w:rsid w:val="009D5C7B"/>
    <w:rsid w:val="009D5E17"/>
    <w:rsid w:val="009E008F"/>
    <w:rsid w:val="009E0378"/>
    <w:rsid w:val="009E06C2"/>
    <w:rsid w:val="009E09EE"/>
    <w:rsid w:val="009E1220"/>
    <w:rsid w:val="009E1D37"/>
    <w:rsid w:val="009F57F0"/>
    <w:rsid w:val="009F623F"/>
    <w:rsid w:val="009F6C64"/>
    <w:rsid w:val="00A02F41"/>
    <w:rsid w:val="00A031C2"/>
    <w:rsid w:val="00A053DE"/>
    <w:rsid w:val="00A05719"/>
    <w:rsid w:val="00A07835"/>
    <w:rsid w:val="00A10A86"/>
    <w:rsid w:val="00A111D2"/>
    <w:rsid w:val="00A111D9"/>
    <w:rsid w:val="00A13947"/>
    <w:rsid w:val="00A13D63"/>
    <w:rsid w:val="00A14C5D"/>
    <w:rsid w:val="00A14F13"/>
    <w:rsid w:val="00A15406"/>
    <w:rsid w:val="00A2013E"/>
    <w:rsid w:val="00A211CE"/>
    <w:rsid w:val="00A223F4"/>
    <w:rsid w:val="00A225F1"/>
    <w:rsid w:val="00A2351D"/>
    <w:rsid w:val="00A25C0E"/>
    <w:rsid w:val="00A26FC8"/>
    <w:rsid w:val="00A2795D"/>
    <w:rsid w:val="00A27CE1"/>
    <w:rsid w:val="00A306A1"/>
    <w:rsid w:val="00A34D14"/>
    <w:rsid w:val="00A35449"/>
    <w:rsid w:val="00A36616"/>
    <w:rsid w:val="00A368D3"/>
    <w:rsid w:val="00A36B57"/>
    <w:rsid w:val="00A3747E"/>
    <w:rsid w:val="00A406CF"/>
    <w:rsid w:val="00A469AF"/>
    <w:rsid w:val="00A4712F"/>
    <w:rsid w:val="00A5285B"/>
    <w:rsid w:val="00A542D0"/>
    <w:rsid w:val="00A55AAE"/>
    <w:rsid w:val="00A561C1"/>
    <w:rsid w:val="00A56ECD"/>
    <w:rsid w:val="00A57878"/>
    <w:rsid w:val="00A579A7"/>
    <w:rsid w:val="00A57D4A"/>
    <w:rsid w:val="00A60155"/>
    <w:rsid w:val="00A603D5"/>
    <w:rsid w:val="00A61E02"/>
    <w:rsid w:val="00A64228"/>
    <w:rsid w:val="00A642C5"/>
    <w:rsid w:val="00A64AFD"/>
    <w:rsid w:val="00A66635"/>
    <w:rsid w:val="00A66DA5"/>
    <w:rsid w:val="00A70901"/>
    <w:rsid w:val="00A70DC7"/>
    <w:rsid w:val="00A758DD"/>
    <w:rsid w:val="00A760A3"/>
    <w:rsid w:val="00A77672"/>
    <w:rsid w:val="00A810C2"/>
    <w:rsid w:val="00A8587A"/>
    <w:rsid w:val="00A86A01"/>
    <w:rsid w:val="00A87733"/>
    <w:rsid w:val="00A87762"/>
    <w:rsid w:val="00A87A20"/>
    <w:rsid w:val="00A90674"/>
    <w:rsid w:val="00A90725"/>
    <w:rsid w:val="00A928E3"/>
    <w:rsid w:val="00A939A1"/>
    <w:rsid w:val="00A93F60"/>
    <w:rsid w:val="00A93FCF"/>
    <w:rsid w:val="00A94AFF"/>
    <w:rsid w:val="00A950FE"/>
    <w:rsid w:val="00AA553F"/>
    <w:rsid w:val="00AB3E69"/>
    <w:rsid w:val="00AB4424"/>
    <w:rsid w:val="00AB5513"/>
    <w:rsid w:val="00AB5FD4"/>
    <w:rsid w:val="00AC2301"/>
    <w:rsid w:val="00AC3943"/>
    <w:rsid w:val="00AC41AE"/>
    <w:rsid w:val="00AC5DF3"/>
    <w:rsid w:val="00AC678F"/>
    <w:rsid w:val="00AD0B6B"/>
    <w:rsid w:val="00AD2F6F"/>
    <w:rsid w:val="00AD317A"/>
    <w:rsid w:val="00AD373E"/>
    <w:rsid w:val="00AD4F56"/>
    <w:rsid w:val="00AD79DB"/>
    <w:rsid w:val="00AE07F9"/>
    <w:rsid w:val="00AE12A0"/>
    <w:rsid w:val="00AE3777"/>
    <w:rsid w:val="00AE48D3"/>
    <w:rsid w:val="00AE4E15"/>
    <w:rsid w:val="00AE53E2"/>
    <w:rsid w:val="00AE5CBB"/>
    <w:rsid w:val="00AE7624"/>
    <w:rsid w:val="00AF4ED4"/>
    <w:rsid w:val="00AF570B"/>
    <w:rsid w:val="00AF602F"/>
    <w:rsid w:val="00AF6923"/>
    <w:rsid w:val="00B00A9E"/>
    <w:rsid w:val="00B027CE"/>
    <w:rsid w:val="00B02A72"/>
    <w:rsid w:val="00B11C52"/>
    <w:rsid w:val="00B139D5"/>
    <w:rsid w:val="00B149B8"/>
    <w:rsid w:val="00B154FA"/>
    <w:rsid w:val="00B16F4D"/>
    <w:rsid w:val="00B21B45"/>
    <w:rsid w:val="00B21EC8"/>
    <w:rsid w:val="00B24AD2"/>
    <w:rsid w:val="00B26222"/>
    <w:rsid w:val="00B269F7"/>
    <w:rsid w:val="00B2715B"/>
    <w:rsid w:val="00B27758"/>
    <w:rsid w:val="00B309F7"/>
    <w:rsid w:val="00B35CDF"/>
    <w:rsid w:val="00B36710"/>
    <w:rsid w:val="00B37A96"/>
    <w:rsid w:val="00B41500"/>
    <w:rsid w:val="00B4383D"/>
    <w:rsid w:val="00B43B69"/>
    <w:rsid w:val="00B43D93"/>
    <w:rsid w:val="00B44178"/>
    <w:rsid w:val="00B52A5E"/>
    <w:rsid w:val="00B53D82"/>
    <w:rsid w:val="00B54DAD"/>
    <w:rsid w:val="00B54F1E"/>
    <w:rsid w:val="00B55110"/>
    <w:rsid w:val="00B57C04"/>
    <w:rsid w:val="00B659CE"/>
    <w:rsid w:val="00B7249B"/>
    <w:rsid w:val="00B725FE"/>
    <w:rsid w:val="00B73975"/>
    <w:rsid w:val="00B75E03"/>
    <w:rsid w:val="00B81416"/>
    <w:rsid w:val="00B815BC"/>
    <w:rsid w:val="00B83034"/>
    <w:rsid w:val="00B841A8"/>
    <w:rsid w:val="00B84D66"/>
    <w:rsid w:val="00B85AB8"/>
    <w:rsid w:val="00B85C97"/>
    <w:rsid w:val="00B87BD9"/>
    <w:rsid w:val="00B92EBC"/>
    <w:rsid w:val="00B940E8"/>
    <w:rsid w:val="00B9615F"/>
    <w:rsid w:val="00BA0B7F"/>
    <w:rsid w:val="00BA141B"/>
    <w:rsid w:val="00BA4991"/>
    <w:rsid w:val="00BA6D22"/>
    <w:rsid w:val="00BA7AF1"/>
    <w:rsid w:val="00BB002C"/>
    <w:rsid w:val="00BB2B38"/>
    <w:rsid w:val="00BB543D"/>
    <w:rsid w:val="00BC144B"/>
    <w:rsid w:val="00BC2BC6"/>
    <w:rsid w:val="00BC3124"/>
    <w:rsid w:val="00BC4ED7"/>
    <w:rsid w:val="00BC7DA3"/>
    <w:rsid w:val="00BD3F95"/>
    <w:rsid w:val="00BD40BF"/>
    <w:rsid w:val="00BD68EB"/>
    <w:rsid w:val="00BD6A82"/>
    <w:rsid w:val="00BD7615"/>
    <w:rsid w:val="00BE02CB"/>
    <w:rsid w:val="00BE348D"/>
    <w:rsid w:val="00BE4CFD"/>
    <w:rsid w:val="00BF27FA"/>
    <w:rsid w:val="00BF3903"/>
    <w:rsid w:val="00BF6DFF"/>
    <w:rsid w:val="00C04378"/>
    <w:rsid w:val="00C053B0"/>
    <w:rsid w:val="00C054F7"/>
    <w:rsid w:val="00C071BA"/>
    <w:rsid w:val="00C07AF5"/>
    <w:rsid w:val="00C10703"/>
    <w:rsid w:val="00C10D47"/>
    <w:rsid w:val="00C1136C"/>
    <w:rsid w:val="00C11845"/>
    <w:rsid w:val="00C149F4"/>
    <w:rsid w:val="00C14A03"/>
    <w:rsid w:val="00C16523"/>
    <w:rsid w:val="00C26EFE"/>
    <w:rsid w:val="00C32E7D"/>
    <w:rsid w:val="00C35709"/>
    <w:rsid w:val="00C37392"/>
    <w:rsid w:val="00C42057"/>
    <w:rsid w:val="00C42A9E"/>
    <w:rsid w:val="00C42F54"/>
    <w:rsid w:val="00C440B5"/>
    <w:rsid w:val="00C447E2"/>
    <w:rsid w:val="00C46C9E"/>
    <w:rsid w:val="00C47AC4"/>
    <w:rsid w:val="00C50564"/>
    <w:rsid w:val="00C50601"/>
    <w:rsid w:val="00C53CB5"/>
    <w:rsid w:val="00C55FAD"/>
    <w:rsid w:val="00C61D2A"/>
    <w:rsid w:val="00C63569"/>
    <w:rsid w:val="00C63792"/>
    <w:rsid w:val="00C66F96"/>
    <w:rsid w:val="00C704A7"/>
    <w:rsid w:val="00C70A1D"/>
    <w:rsid w:val="00C70C03"/>
    <w:rsid w:val="00C71B5A"/>
    <w:rsid w:val="00C71DFE"/>
    <w:rsid w:val="00C72B71"/>
    <w:rsid w:val="00C72C3B"/>
    <w:rsid w:val="00C730E7"/>
    <w:rsid w:val="00C73D87"/>
    <w:rsid w:val="00C7573E"/>
    <w:rsid w:val="00C768D4"/>
    <w:rsid w:val="00C77153"/>
    <w:rsid w:val="00C82229"/>
    <w:rsid w:val="00C847DA"/>
    <w:rsid w:val="00C85743"/>
    <w:rsid w:val="00C85816"/>
    <w:rsid w:val="00C86A9B"/>
    <w:rsid w:val="00C9171B"/>
    <w:rsid w:val="00C918B0"/>
    <w:rsid w:val="00C93156"/>
    <w:rsid w:val="00C93CA1"/>
    <w:rsid w:val="00C96455"/>
    <w:rsid w:val="00C9672F"/>
    <w:rsid w:val="00CA3E4E"/>
    <w:rsid w:val="00CA5883"/>
    <w:rsid w:val="00CA5B33"/>
    <w:rsid w:val="00CA6391"/>
    <w:rsid w:val="00CA6F6F"/>
    <w:rsid w:val="00CB13B0"/>
    <w:rsid w:val="00CB30F1"/>
    <w:rsid w:val="00CB5625"/>
    <w:rsid w:val="00CB7F13"/>
    <w:rsid w:val="00CC11E8"/>
    <w:rsid w:val="00CC1B6F"/>
    <w:rsid w:val="00CC2F82"/>
    <w:rsid w:val="00CC4BB0"/>
    <w:rsid w:val="00CC5F21"/>
    <w:rsid w:val="00CC6190"/>
    <w:rsid w:val="00CD0E39"/>
    <w:rsid w:val="00CD3182"/>
    <w:rsid w:val="00CD33F5"/>
    <w:rsid w:val="00CD3B47"/>
    <w:rsid w:val="00CD467A"/>
    <w:rsid w:val="00CD4CF9"/>
    <w:rsid w:val="00CD5384"/>
    <w:rsid w:val="00CD59E1"/>
    <w:rsid w:val="00CD5BF3"/>
    <w:rsid w:val="00CD611E"/>
    <w:rsid w:val="00CD7984"/>
    <w:rsid w:val="00CE10AC"/>
    <w:rsid w:val="00CE143E"/>
    <w:rsid w:val="00CE44AA"/>
    <w:rsid w:val="00CE6172"/>
    <w:rsid w:val="00CE7410"/>
    <w:rsid w:val="00D032B1"/>
    <w:rsid w:val="00D07C8D"/>
    <w:rsid w:val="00D10C80"/>
    <w:rsid w:val="00D1134B"/>
    <w:rsid w:val="00D11C69"/>
    <w:rsid w:val="00D12999"/>
    <w:rsid w:val="00D129B3"/>
    <w:rsid w:val="00D13718"/>
    <w:rsid w:val="00D166C1"/>
    <w:rsid w:val="00D1684B"/>
    <w:rsid w:val="00D17D9E"/>
    <w:rsid w:val="00D209A1"/>
    <w:rsid w:val="00D254E8"/>
    <w:rsid w:val="00D301C5"/>
    <w:rsid w:val="00D3048E"/>
    <w:rsid w:val="00D33137"/>
    <w:rsid w:val="00D339A0"/>
    <w:rsid w:val="00D347B6"/>
    <w:rsid w:val="00D35832"/>
    <w:rsid w:val="00D35F7E"/>
    <w:rsid w:val="00D379B4"/>
    <w:rsid w:val="00D40511"/>
    <w:rsid w:val="00D40F4B"/>
    <w:rsid w:val="00D46164"/>
    <w:rsid w:val="00D46D58"/>
    <w:rsid w:val="00D46EB3"/>
    <w:rsid w:val="00D50B1F"/>
    <w:rsid w:val="00D51438"/>
    <w:rsid w:val="00D51E46"/>
    <w:rsid w:val="00D573BB"/>
    <w:rsid w:val="00D5757D"/>
    <w:rsid w:val="00D608D4"/>
    <w:rsid w:val="00D611CA"/>
    <w:rsid w:val="00D621FB"/>
    <w:rsid w:val="00D63233"/>
    <w:rsid w:val="00D663CC"/>
    <w:rsid w:val="00D701E8"/>
    <w:rsid w:val="00D71D67"/>
    <w:rsid w:val="00D72453"/>
    <w:rsid w:val="00D72C3A"/>
    <w:rsid w:val="00D7330A"/>
    <w:rsid w:val="00D74093"/>
    <w:rsid w:val="00D748C0"/>
    <w:rsid w:val="00D74C39"/>
    <w:rsid w:val="00D81BC7"/>
    <w:rsid w:val="00D81C81"/>
    <w:rsid w:val="00D836E7"/>
    <w:rsid w:val="00D84760"/>
    <w:rsid w:val="00D877A0"/>
    <w:rsid w:val="00D902BD"/>
    <w:rsid w:val="00D90A5E"/>
    <w:rsid w:val="00D91738"/>
    <w:rsid w:val="00D91A18"/>
    <w:rsid w:val="00D92148"/>
    <w:rsid w:val="00D940CE"/>
    <w:rsid w:val="00D96C31"/>
    <w:rsid w:val="00DA11B2"/>
    <w:rsid w:val="00DA14BE"/>
    <w:rsid w:val="00DA1747"/>
    <w:rsid w:val="00DA4A7E"/>
    <w:rsid w:val="00DA4E70"/>
    <w:rsid w:val="00DA597A"/>
    <w:rsid w:val="00DA7242"/>
    <w:rsid w:val="00DA7C87"/>
    <w:rsid w:val="00DB11EF"/>
    <w:rsid w:val="00DB3524"/>
    <w:rsid w:val="00DC016C"/>
    <w:rsid w:val="00DC288B"/>
    <w:rsid w:val="00DC2ED4"/>
    <w:rsid w:val="00DC3BDC"/>
    <w:rsid w:val="00DC5AA5"/>
    <w:rsid w:val="00DC5D64"/>
    <w:rsid w:val="00DC6890"/>
    <w:rsid w:val="00DC7D95"/>
    <w:rsid w:val="00DD131D"/>
    <w:rsid w:val="00DD3328"/>
    <w:rsid w:val="00DD42E6"/>
    <w:rsid w:val="00DD59F8"/>
    <w:rsid w:val="00DD70B5"/>
    <w:rsid w:val="00DD7FB9"/>
    <w:rsid w:val="00DE18B4"/>
    <w:rsid w:val="00DE407B"/>
    <w:rsid w:val="00DE7782"/>
    <w:rsid w:val="00DF13C3"/>
    <w:rsid w:val="00DF4370"/>
    <w:rsid w:val="00E00866"/>
    <w:rsid w:val="00E00909"/>
    <w:rsid w:val="00E0178D"/>
    <w:rsid w:val="00E05207"/>
    <w:rsid w:val="00E06613"/>
    <w:rsid w:val="00E07B09"/>
    <w:rsid w:val="00E10319"/>
    <w:rsid w:val="00E11B84"/>
    <w:rsid w:val="00E11FB8"/>
    <w:rsid w:val="00E22818"/>
    <w:rsid w:val="00E22932"/>
    <w:rsid w:val="00E245CC"/>
    <w:rsid w:val="00E278A8"/>
    <w:rsid w:val="00E27A5C"/>
    <w:rsid w:val="00E31EA8"/>
    <w:rsid w:val="00E32FF5"/>
    <w:rsid w:val="00E335B1"/>
    <w:rsid w:val="00E34A0B"/>
    <w:rsid w:val="00E35A0E"/>
    <w:rsid w:val="00E35FB5"/>
    <w:rsid w:val="00E42BDF"/>
    <w:rsid w:val="00E43643"/>
    <w:rsid w:val="00E4573B"/>
    <w:rsid w:val="00E46636"/>
    <w:rsid w:val="00E5200E"/>
    <w:rsid w:val="00E52C3C"/>
    <w:rsid w:val="00E562D7"/>
    <w:rsid w:val="00E5695C"/>
    <w:rsid w:val="00E57FE0"/>
    <w:rsid w:val="00E60016"/>
    <w:rsid w:val="00E62B1D"/>
    <w:rsid w:val="00E63634"/>
    <w:rsid w:val="00E64B96"/>
    <w:rsid w:val="00E651BA"/>
    <w:rsid w:val="00E6570D"/>
    <w:rsid w:val="00E66A4A"/>
    <w:rsid w:val="00E671B7"/>
    <w:rsid w:val="00E677CF"/>
    <w:rsid w:val="00E72B05"/>
    <w:rsid w:val="00E75542"/>
    <w:rsid w:val="00E75CD6"/>
    <w:rsid w:val="00E75D48"/>
    <w:rsid w:val="00E7715E"/>
    <w:rsid w:val="00E80947"/>
    <w:rsid w:val="00E84E06"/>
    <w:rsid w:val="00E86D6B"/>
    <w:rsid w:val="00E87495"/>
    <w:rsid w:val="00E876E9"/>
    <w:rsid w:val="00E9740D"/>
    <w:rsid w:val="00EA1E95"/>
    <w:rsid w:val="00EA5EAC"/>
    <w:rsid w:val="00EA7D09"/>
    <w:rsid w:val="00EB2547"/>
    <w:rsid w:val="00EB368C"/>
    <w:rsid w:val="00EB4FC8"/>
    <w:rsid w:val="00EB5866"/>
    <w:rsid w:val="00EC0185"/>
    <w:rsid w:val="00EC0E39"/>
    <w:rsid w:val="00EC2038"/>
    <w:rsid w:val="00EC7DD3"/>
    <w:rsid w:val="00ED05FA"/>
    <w:rsid w:val="00ED0A22"/>
    <w:rsid w:val="00ED1661"/>
    <w:rsid w:val="00ED2467"/>
    <w:rsid w:val="00ED2712"/>
    <w:rsid w:val="00ED388E"/>
    <w:rsid w:val="00EE0D99"/>
    <w:rsid w:val="00EE1B70"/>
    <w:rsid w:val="00EE2740"/>
    <w:rsid w:val="00EE362D"/>
    <w:rsid w:val="00EE37D3"/>
    <w:rsid w:val="00EE6D97"/>
    <w:rsid w:val="00EF17AC"/>
    <w:rsid w:val="00EF2F79"/>
    <w:rsid w:val="00EF41E5"/>
    <w:rsid w:val="00EF6BF7"/>
    <w:rsid w:val="00F01BA3"/>
    <w:rsid w:val="00F03153"/>
    <w:rsid w:val="00F03A99"/>
    <w:rsid w:val="00F03BB5"/>
    <w:rsid w:val="00F04150"/>
    <w:rsid w:val="00F042B5"/>
    <w:rsid w:val="00F04A49"/>
    <w:rsid w:val="00F05AD7"/>
    <w:rsid w:val="00F06205"/>
    <w:rsid w:val="00F11968"/>
    <w:rsid w:val="00F14188"/>
    <w:rsid w:val="00F16325"/>
    <w:rsid w:val="00F21CD9"/>
    <w:rsid w:val="00F25DAD"/>
    <w:rsid w:val="00F27340"/>
    <w:rsid w:val="00F306F4"/>
    <w:rsid w:val="00F3078A"/>
    <w:rsid w:val="00F30840"/>
    <w:rsid w:val="00F33104"/>
    <w:rsid w:val="00F377D5"/>
    <w:rsid w:val="00F41895"/>
    <w:rsid w:val="00F41C50"/>
    <w:rsid w:val="00F435AC"/>
    <w:rsid w:val="00F4454F"/>
    <w:rsid w:val="00F54DAC"/>
    <w:rsid w:val="00F54E90"/>
    <w:rsid w:val="00F5509E"/>
    <w:rsid w:val="00F613DE"/>
    <w:rsid w:val="00F64ABB"/>
    <w:rsid w:val="00F65560"/>
    <w:rsid w:val="00F65ACA"/>
    <w:rsid w:val="00F70675"/>
    <w:rsid w:val="00F76A44"/>
    <w:rsid w:val="00F803A5"/>
    <w:rsid w:val="00F80F0C"/>
    <w:rsid w:val="00F812F0"/>
    <w:rsid w:val="00F907D1"/>
    <w:rsid w:val="00F91B75"/>
    <w:rsid w:val="00F953C8"/>
    <w:rsid w:val="00F95FF1"/>
    <w:rsid w:val="00FA127D"/>
    <w:rsid w:val="00FA3DEB"/>
    <w:rsid w:val="00FA4A3C"/>
    <w:rsid w:val="00FA65DC"/>
    <w:rsid w:val="00FB0B2E"/>
    <w:rsid w:val="00FB316D"/>
    <w:rsid w:val="00FB35FC"/>
    <w:rsid w:val="00FB650B"/>
    <w:rsid w:val="00FC0743"/>
    <w:rsid w:val="00FC1493"/>
    <w:rsid w:val="00FC29D1"/>
    <w:rsid w:val="00FC4F5D"/>
    <w:rsid w:val="00FC6A5A"/>
    <w:rsid w:val="00FD186B"/>
    <w:rsid w:val="00FD2545"/>
    <w:rsid w:val="00FD4E8A"/>
    <w:rsid w:val="00FD53E5"/>
    <w:rsid w:val="00FD544C"/>
    <w:rsid w:val="00FD5DF6"/>
    <w:rsid w:val="00FD5E67"/>
    <w:rsid w:val="00FE3DC8"/>
    <w:rsid w:val="00FE47A7"/>
    <w:rsid w:val="00FE6435"/>
    <w:rsid w:val="00FF0148"/>
    <w:rsid w:val="00FF0207"/>
    <w:rsid w:val="00FF3048"/>
    <w:rsid w:val="00FF350A"/>
    <w:rsid w:val="00FF566B"/>
    <w:rsid w:val="00FF7212"/>
    <w:rsid w:val="00FF78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D1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242"/>
  </w:style>
  <w:style w:type="paragraph" w:styleId="Heading1">
    <w:name w:val="heading 1"/>
    <w:basedOn w:val="norm"/>
    <w:next w:val="norm"/>
    <w:link w:val="Heading1Char"/>
    <w:qFormat/>
    <w:rsid w:val="005F106D"/>
    <w:pPr>
      <w:keepNext/>
      <w:tabs>
        <w:tab w:val="num" w:pos="567"/>
      </w:tabs>
      <w:spacing w:before="360" w:after="120"/>
      <w:ind w:left="567" w:hanging="567"/>
      <w:outlineLvl w:val="0"/>
    </w:pPr>
    <w:rPr>
      <w:b/>
      <w:bCs/>
      <w:kern w:val="28"/>
      <w:sz w:val="32"/>
      <w:szCs w:val="28"/>
    </w:rPr>
  </w:style>
  <w:style w:type="paragraph" w:styleId="Heading2">
    <w:name w:val="heading 2"/>
    <w:basedOn w:val="Normal"/>
    <w:next w:val="Normal"/>
    <w:link w:val="Heading2Char"/>
    <w:uiPriority w:val="9"/>
    <w:unhideWhenUsed/>
    <w:qFormat/>
    <w:rsid w:val="00A37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
    <w:next w:val="norm"/>
    <w:link w:val="Heading3Char"/>
    <w:qFormat/>
    <w:rsid w:val="005F106D"/>
    <w:pPr>
      <w:keepNext/>
      <w:tabs>
        <w:tab w:val="num" w:pos="567"/>
      </w:tabs>
      <w:spacing w:before="180"/>
      <w:ind w:left="567" w:hanging="567"/>
      <w:outlineLvl w:val="2"/>
    </w:pPr>
    <w:rPr>
      <w:b/>
      <w:bCs/>
      <w:sz w:val="24"/>
      <w:szCs w:val="24"/>
    </w:rPr>
  </w:style>
  <w:style w:type="paragraph" w:styleId="Heading4">
    <w:name w:val="heading 4"/>
    <w:basedOn w:val="Normal"/>
    <w:next w:val="Normal"/>
    <w:link w:val="Heading4Char"/>
    <w:uiPriority w:val="9"/>
    <w:semiHidden/>
    <w:unhideWhenUsed/>
    <w:qFormat/>
    <w:rsid w:val="005F10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66"/>
    <w:pPr>
      <w:ind w:left="720"/>
      <w:contextualSpacing/>
    </w:pPr>
  </w:style>
  <w:style w:type="character" w:styleId="FootnoteReference">
    <w:name w:val="footnote reference"/>
    <w:uiPriority w:val="99"/>
    <w:semiHidden/>
    <w:rsid w:val="001C63F7"/>
    <w:rPr>
      <w:vertAlign w:val="superscript"/>
    </w:rPr>
  </w:style>
  <w:style w:type="paragraph" w:styleId="FootnoteText">
    <w:name w:val="footnote text"/>
    <w:basedOn w:val="Normal"/>
    <w:link w:val="FootnoteTextChar"/>
    <w:qFormat/>
    <w:rsid w:val="001C63F7"/>
    <w:pPr>
      <w:keepLines/>
      <w:tabs>
        <w:tab w:val="left" w:pos="284"/>
      </w:tabs>
      <w:spacing w:before="60" w:after="60" w:line="200" w:lineRule="atLeast"/>
      <w:ind w:left="284" w:hanging="284"/>
    </w:pPr>
    <w:rPr>
      <w:rFonts w:ascii="Arial" w:eastAsia="Times New Roman" w:hAnsi="Arial" w:cs="Sendnya"/>
      <w:sz w:val="18"/>
      <w:szCs w:val="18"/>
      <w:lang w:eastAsia="en-GB"/>
    </w:rPr>
  </w:style>
  <w:style w:type="character" w:customStyle="1" w:styleId="FootnoteTextChar">
    <w:name w:val="Footnote Text Char"/>
    <w:basedOn w:val="DefaultParagraphFont"/>
    <w:link w:val="FootnoteText"/>
    <w:rsid w:val="001C63F7"/>
    <w:rPr>
      <w:rFonts w:ascii="Arial" w:eastAsia="Times New Roman" w:hAnsi="Arial" w:cs="Sendnya"/>
      <w:sz w:val="18"/>
      <w:szCs w:val="18"/>
      <w:lang w:eastAsia="en-GB"/>
    </w:rPr>
  </w:style>
  <w:style w:type="paragraph" w:customStyle="1" w:styleId="ECBBodyText">
    <w:name w:val="ECB Body Text"/>
    <w:basedOn w:val="Normal"/>
    <w:link w:val="ECBBodyTextChar"/>
    <w:qFormat/>
    <w:rsid w:val="001C63F7"/>
    <w:pPr>
      <w:spacing w:before="60" w:after="60" w:line="340" w:lineRule="exact"/>
    </w:pPr>
    <w:rPr>
      <w:rFonts w:ascii="Arial" w:eastAsia="Times New Roman" w:hAnsi="Arial" w:cs="Sendnya"/>
      <w:sz w:val="20"/>
      <w:lang w:eastAsia="en-GB"/>
    </w:rPr>
  </w:style>
  <w:style w:type="character" w:customStyle="1" w:styleId="ECBBodyTextChar">
    <w:name w:val="ECB Body Text Char"/>
    <w:link w:val="ECBBodyText"/>
    <w:rsid w:val="001C63F7"/>
    <w:rPr>
      <w:rFonts w:ascii="Arial" w:eastAsia="Times New Roman" w:hAnsi="Arial" w:cs="Sendnya"/>
      <w:sz w:val="20"/>
      <w:lang w:eastAsia="en-GB"/>
    </w:rPr>
  </w:style>
  <w:style w:type="paragraph" w:customStyle="1" w:styleId="Default">
    <w:name w:val="Default"/>
    <w:rsid w:val="005D4E70"/>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A810C2"/>
    <w:rPr>
      <w:sz w:val="16"/>
      <w:szCs w:val="16"/>
    </w:rPr>
  </w:style>
  <w:style w:type="paragraph" w:styleId="CommentText">
    <w:name w:val="annotation text"/>
    <w:basedOn w:val="Normal"/>
    <w:link w:val="CommentTextChar"/>
    <w:uiPriority w:val="99"/>
    <w:unhideWhenUsed/>
    <w:rsid w:val="00A810C2"/>
    <w:pPr>
      <w:spacing w:line="240" w:lineRule="auto"/>
    </w:pPr>
    <w:rPr>
      <w:sz w:val="20"/>
      <w:szCs w:val="20"/>
    </w:rPr>
  </w:style>
  <w:style w:type="character" w:customStyle="1" w:styleId="CommentTextChar">
    <w:name w:val="Comment Text Char"/>
    <w:basedOn w:val="DefaultParagraphFont"/>
    <w:link w:val="CommentText"/>
    <w:uiPriority w:val="99"/>
    <w:rsid w:val="00A810C2"/>
    <w:rPr>
      <w:sz w:val="20"/>
      <w:szCs w:val="20"/>
      <w:lang w:val="fr-FR"/>
    </w:rPr>
  </w:style>
  <w:style w:type="paragraph" w:styleId="CommentSubject">
    <w:name w:val="annotation subject"/>
    <w:basedOn w:val="CommentText"/>
    <w:next w:val="CommentText"/>
    <w:link w:val="CommentSubjectChar"/>
    <w:uiPriority w:val="99"/>
    <w:semiHidden/>
    <w:unhideWhenUsed/>
    <w:rsid w:val="00A810C2"/>
    <w:rPr>
      <w:b/>
      <w:bCs/>
    </w:rPr>
  </w:style>
  <w:style w:type="character" w:customStyle="1" w:styleId="CommentSubjectChar">
    <w:name w:val="Comment Subject Char"/>
    <w:basedOn w:val="CommentTextChar"/>
    <w:link w:val="CommentSubject"/>
    <w:uiPriority w:val="99"/>
    <w:semiHidden/>
    <w:rsid w:val="00A810C2"/>
    <w:rPr>
      <w:b/>
      <w:bCs/>
      <w:sz w:val="20"/>
      <w:szCs w:val="20"/>
      <w:lang w:val="fr-FR"/>
    </w:rPr>
  </w:style>
  <w:style w:type="paragraph" w:styleId="BalloonText">
    <w:name w:val="Balloon Text"/>
    <w:basedOn w:val="Normal"/>
    <w:link w:val="BalloonTextChar"/>
    <w:uiPriority w:val="99"/>
    <w:semiHidden/>
    <w:unhideWhenUsed/>
    <w:rsid w:val="00A81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10C2"/>
    <w:rPr>
      <w:rFonts w:ascii="Tahoma" w:hAnsi="Tahoma" w:cs="Tahoma"/>
      <w:sz w:val="16"/>
      <w:szCs w:val="16"/>
      <w:lang w:val="fr-FR"/>
    </w:rPr>
  </w:style>
  <w:style w:type="table" w:styleId="TableGrid">
    <w:name w:val="Table Grid"/>
    <w:basedOn w:val="TableNormal"/>
    <w:uiPriority w:val="59"/>
    <w:rsid w:val="00032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32A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2A84"/>
  </w:style>
  <w:style w:type="paragraph" w:styleId="Header">
    <w:name w:val="header"/>
    <w:basedOn w:val="Normal"/>
    <w:link w:val="HeaderChar"/>
    <w:uiPriority w:val="99"/>
    <w:unhideWhenUsed/>
    <w:rsid w:val="008D5D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D96"/>
    <w:rPr>
      <w:lang w:val="fr-FR"/>
    </w:rPr>
  </w:style>
  <w:style w:type="paragraph" w:styleId="Revision">
    <w:name w:val="Revision"/>
    <w:hidden/>
    <w:uiPriority w:val="99"/>
    <w:semiHidden/>
    <w:rsid w:val="008D5D96"/>
    <w:pPr>
      <w:spacing w:after="0" w:line="240" w:lineRule="auto"/>
    </w:pPr>
    <w:rPr>
      <w:lang w:val="fr-FR"/>
    </w:rPr>
  </w:style>
  <w:style w:type="character" w:styleId="Hyperlink">
    <w:name w:val="Hyperlink"/>
    <w:basedOn w:val="DefaultParagraphFont"/>
    <w:uiPriority w:val="99"/>
    <w:unhideWhenUsed/>
    <w:rsid w:val="00E562D7"/>
    <w:rPr>
      <w:color w:val="0000FF" w:themeColor="hyperlink"/>
      <w:u w:val="single"/>
    </w:rPr>
  </w:style>
  <w:style w:type="paragraph" w:customStyle="1" w:styleId="CM1">
    <w:name w:val="CM1"/>
    <w:basedOn w:val="Default"/>
    <w:next w:val="Default"/>
    <w:uiPriority w:val="99"/>
    <w:rsid w:val="003C3A9C"/>
    <w:rPr>
      <w:rFonts w:ascii="Times New Roman" w:hAnsi="Times New Roman" w:cs="Times New Roman"/>
      <w:color w:val="auto"/>
    </w:rPr>
  </w:style>
  <w:style w:type="paragraph" w:customStyle="1" w:styleId="CM3">
    <w:name w:val="CM3"/>
    <w:basedOn w:val="Default"/>
    <w:next w:val="Default"/>
    <w:uiPriority w:val="99"/>
    <w:rsid w:val="003C3A9C"/>
    <w:rPr>
      <w:rFonts w:ascii="Times New Roman" w:hAnsi="Times New Roman" w:cs="Times New Roman"/>
      <w:color w:val="auto"/>
    </w:rPr>
  </w:style>
  <w:style w:type="paragraph" w:styleId="NoSpacing">
    <w:name w:val="No Spacing"/>
    <w:uiPriority w:val="1"/>
    <w:qFormat/>
    <w:rsid w:val="00FC29D1"/>
    <w:rPr>
      <w:rFonts w:ascii="Arial" w:hAnsi="Arial"/>
      <w:sz w:val="20"/>
    </w:rPr>
  </w:style>
  <w:style w:type="paragraph" w:customStyle="1" w:styleId="Baseparagraphnumbered">
    <w:name w:val="Base paragraph numbered"/>
    <w:basedOn w:val="Normal"/>
    <w:link w:val="BaseparagraphnumberedChar"/>
    <w:qFormat/>
    <w:rsid w:val="00190C3C"/>
    <w:pPr>
      <w:numPr>
        <w:numId w:val="4"/>
      </w:numPr>
      <w:spacing w:after="240" w:line="240" w:lineRule="auto"/>
      <w:jc w:val="both"/>
    </w:pPr>
    <w:rPr>
      <w:rFonts w:ascii="Times New Roman" w:eastAsia="Times New Roman" w:hAnsi="Times New Roman" w:cs="Times New Roman"/>
      <w:sz w:val="24"/>
      <w:szCs w:val="24"/>
      <w:lang w:eastAsia="en-GB"/>
    </w:rPr>
  </w:style>
  <w:style w:type="character" w:customStyle="1" w:styleId="BaseparagraphnumberedChar">
    <w:name w:val="Base paragraph numbered Char"/>
    <w:link w:val="Baseparagraphnumbered"/>
    <w:rsid w:val="00190C3C"/>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334449"/>
    <w:pPr>
      <w:widowControl w:val="0"/>
      <w:spacing w:after="0" w:line="240" w:lineRule="auto"/>
    </w:pPr>
    <w:rPr>
      <w:lang w:val="en-US"/>
    </w:rPr>
  </w:style>
  <w:style w:type="paragraph" w:customStyle="1" w:styleId="norm">
    <w:name w:val="norm"/>
    <w:basedOn w:val="Normal"/>
    <w:rsid w:val="000A768B"/>
    <w:pPr>
      <w:tabs>
        <w:tab w:val="left" w:pos="851"/>
        <w:tab w:val="right" w:pos="9356"/>
      </w:tabs>
      <w:spacing w:before="60" w:after="60" w:line="360" w:lineRule="atLeast"/>
      <w:jc w:val="both"/>
    </w:pPr>
    <w:rPr>
      <w:rFonts w:ascii="Times New Roman" w:eastAsia="Times New Roman" w:hAnsi="Times New Roman" w:cs="Sendnya"/>
      <w:lang w:eastAsia="en-GB"/>
    </w:rPr>
  </w:style>
  <w:style w:type="paragraph" w:customStyle="1" w:styleId="InstructionsText2">
    <w:name w:val="Instructions Text 2"/>
    <w:basedOn w:val="Normal"/>
    <w:qFormat/>
    <w:rsid w:val="00E05207"/>
    <w:pPr>
      <w:numPr>
        <w:numId w:val="10"/>
      </w:numPr>
      <w:spacing w:after="240" w:line="240" w:lineRule="auto"/>
      <w:jc w:val="both"/>
    </w:pPr>
    <w:rPr>
      <w:rFonts w:ascii="Times New Roman" w:eastAsia="Times New Roman" w:hAnsi="Times New Roman" w:cs="Times New Roman"/>
      <w:sz w:val="24"/>
      <w:szCs w:val="24"/>
      <w:lang w:eastAsia="de-DE"/>
    </w:rPr>
  </w:style>
  <w:style w:type="paragraph" w:customStyle="1" w:styleId="Instructionsberschrift2">
    <w:name w:val="Instructions Überschrift 2"/>
    <w:basedOn w:val="Heading2"/>
    <w:rsid w:val="00A3747E"/>
    <w:pPr>
      <w:keepLines w:val="0"/>
      <w:numPr>
        <w:numId w:val="14"/>
      </w:numPr>
      <w:spacing w:before="240" w:after="240" w:line="240" w:lineRule="auto"/>
      <w:ind w:left="360"/>
      <w:jc w:val="both"/>
    </w:pPr>
    <w:rPr>
      <w:rFonts w:ascii="Verdana" w:eastAsia="Arial" w:hAnsi="Verdana" w:cs="Arial"/>
      <w:b w:val="0"/>
      <w:bCs w:val="0"/>
      <w:color w:val="auto"/>
      <w:sz w:val="20"/>
      <w:szCs w:val="24"/>
      <w:u w:val="single"/>
      <w:lang w:val="en-US" w:eastAsia="x-none"/>
    </w:rPr>
  </w:style>
  <w:style w:type="character" w:customStyle="1" w:styleId="Heading2Char">
    <w:name w:val="Heading 2 Char"/>
    <w:basedOn w:val="DefaultParagraphFont"/>
    <w:link w:val="Heading2"/>
    <w:uiPriority w:val="9"/>
    <w:rsid w:val="00A3747E"/>
    <w:rPr>
      <w:rFonts w:asciiTheme="majorHAnsi" w:eastAsiaTheme="majorEastAsia" w:hAnsiTheme="majorHAnsi" w:cstheme="majorBidi"/>
      <w:b/>
      <w:bCs/>
      <w:color w:val="4F81BD" w:themeColor="accent1"/>
      <w:sz w:val="26"/>
      <w:szCs w:val="26"/>
      <w:lang w:val="fr-FR"/>
    </w:rPr>
  </w:style>
  <w:style w:type="character" w:customStyle="1" w:styleId="Heading1Char">
    <w:name w:val="Heading 1 Char"/>
    <w:basedOn w:val="DefaultParagraphFont"/>
    <w:link w:val="Heading1"/>
    <w:rsid w:val="005F106D"/>
    <w:rPr>
      <w:rFonts w:ascii="Times New Roman" w:eastAsia="Times New Roman" w:hAnsi="Times New Roman" w:cs="Sendnya"/>
      <w:b/>
      <w:bCs/>
      <w:kern w:val="28"/>
      <w:sz w:val="32"/>
      <w:szCs w:val="28"/>
      <w:lang w:eastAsia="en-GB"/>
    </w:rPr>
  </w:style>
  <w:style w:type="character" w:customStyle="1" w:styleId="Heading3Char">
    <w:name w:val="Heading 3 Char"/>
    <w:basedOn w:val="DefaultParagraphFont"/>
    <w:link w:val="Heading3"/>
    <w:rsid w:val="005F106D"/>
    <w:rPr>
      <w:rFonts w:ascii="Times New Roman" w:eastAsia="Times New Roman" w:hAnsi="Times New Roman" w:cs="Sendnya"/>
      <w:b/>
      <w:bCs/>
      <w:sz w:val="24"/>
      <w:szCs w:val="24"/>
      <w:lang w:eastAsia="en-GB"/>
    </w:rPr>
  </w:style>
  <w:style w:type="character" w:customStyle="1" w:styleId="Heading4Char">
    <w:name w:val="Heading 4 Char"/>
    <w:basedOn w:val="DefaultParagraphFont"/>
    <w:link w:val="Heading4"/>
    <w:uiPriority w:val="9"/>
    <w:semiHidden/>
    <w:rsid w:val="005F106D"/>
    <w:rPr>
      <w:rFonts w:asciiTheme="majorHAnsi" w:eastAsiaTheme="majorEastAsia" w:hAnsiTheme="majorHAnsi" w:cstheme="majorBidi"/>
      <w:b/>
      <w:bCs/>
      <w:i/>
      <w:iCs/>
      <w:color w:val="4F81BD" w:themeColor="accent1"/>
      <w:lang w:val="fr-FR"/>
    </w:rPr>
  </w:style>
  <w:style w:type="character" w:styleId="PlaceholderText">
    <w:name w:val="Placeholder Text"/>
    <w:basedOn w:val="DefaultParagraphFont"/>
    <w:uiPriority w:val="99"/>
    <w:semiHidden/>
    <w:rsid w:val="005F106D"/>
    <w:rPr>
      <w:color w:val="808080"/>
    </w:rPr>
  </w:style>
  <w:style w:type="character" w:styleId="FollowedHyperlink">
    <w:name w:val="FollowedHyperlink"/>
    <w:basedOn w:val="DefaultParagraphFont"/>
    <w:uiPriority w:val="99"/>
    <w:semiHidden/>
    <w:unhideWhenUsed/>
    <w:rsid w:val="0068730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242"/>
  </w:style>
  <w:style w:type="paragraph" w:styleId="Heading1">
    <w:name w:val="heading 1"/>
    <w:basedOn w:val="norm"/>
    <w:next w:val="norm"/>
    <w:link w:val="Heading1Char"/>
    <w:qFormat/>
    <w:rsid w:val="005F106D"/>
    <w:pPr>
      <w:keepNext/>
      <w:tabs>
        <w:tab w:val="num" w:pos="567"/>
      </w:tabs>
      <w:spacing w:before="360" w:after="120"/>
      <w:ind w:left="567" w:hanging="567"/>
      <w:outlineLvl w:val="0"/>
    </w:pPr>
    <w:rPr>
      <w:b/>
      <w:bCs/>
      <w:kern w:val="28"/>
      <w:sz w:val="32"/>
      <w:szCs w:val="28"/>
    </w:rPr>
  </w:style>
  <w:style w:type="paragraph" w:styleId="Heading2">
    <w:name w:val="heading 2"/>
    <w:basedOn w:val="Normal"/>
    <w:next w:val="Normal"/>
    <w:link w:val="Heading2Char"/>
    <w:uiPriority w:val="9"/>
    <w:unhideWhenUsed/>
    <w:qFormat/>
    <w:rsid w:val="00A37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
    <w:next w:val="norm"/>
    <w:link w:val="Heading3Char"/>
    <w:qFormat/>
    <w:rsid w:val="005F106D"/>
    <w:pPr>
      <w:keepNext/>
      <w:tabs>
        <w:tab w:val="num" w:pos="567"/>
      </w:tabs>
      <w:spacing w:before="180"/>
      <w:ind w:left="567" w:hanging="567"/>
      <w:outlineLvl w:val="2"/>
    </w:pPr>
    <w:rPr>
      <w:b/>
      <w:bCs/>
      <w:sz w:val="24"/>
      <w:szCs w:val="24"/>
    </w:rPr>
  </w:style>
  <w:style w:type="paragraph" w:styleId="Heading4">
    <w:name w:val="heading 4"/>
    <w:basedOn w:val="Normal"/>
    <w:next w:val="Normal"/>
    <w:link w:val="Heading4Char"/>
    <w:uiPriority w:val="9"/>
    <w:semiHidden/>
    <w:unhideWhenUsed/>
    <w:qFormat/>
    <w:rsid w:val="005F10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66"/>
    <w:pPr>
      <w:ind w:left="720"/>
      <w:contextualSpacing/>
    </w:pPr>
  </w:style>
  <w:style w:type="character" w:styleId="FootnoteReference">
    <w:name w:val="footnote reference"/>
    <w:uiPriority w:val="99"/>
    <w:semiHidden/>
    <w:rsid w:val="001C63F7"/>
    <w:rPr>
      <w:vertAlign w:val="superscript"/>
    </w:rPr>
  </w:style>
  <w:style w:type="paragraph" w:styleId="FootnoteText">
    <w:name w:val="footnote text"/>
    <w:basedOn w:val="Normal"/>
    <w:link w:val="FootnoteTextChar"/>
    <w:qFormat/>
    <w:rsid w:val="001C63F7"/>
    <w:pPr>
      <w:keepLines/>
      <w:tabs>
        <w:tab w:val="left" w:pos="284"/>
      </w:tabs>
      <w:spacing w:before="60" w:after="60" w:line="200" w:lineRule="atLeast"/>
      <w:ind w:left="284" w:hanging="284"/>
    </w:pPr>
    <w:rPr>
      <w:rFonts w:ascii="Arial" w:eastAsia="Times New Roman" w:hAnsi="Arial" w:cs="Sendnya"/>
      <w:sz w:val="18"/>
      <w:szCs w:val="18"/>
      <w:lang w:eastAsia="en-GB"/>
    </w:rPr>
  </w:style>
  <w:style w:type="character" w:customStyle="1" w:styleId="FootnoteTextChar">
    <w:name w:val="Footnote Text Char"/>
    <w:basedOn w:val="DefaultParagraphFont"/>
    <w:link w:val="FootnoteText"/>
    <w:rsid w:val="001C63F7"/>
    <w:rPr>
      <w:rFonts w:ascii="Arial" w:eastAsia="Times New Roman" w:hAnsi="Arial" w:cs="Sendnya"/>
      <w:sz w:val="18"/>
      <w:szCs w:val="18"/>
      <w:lang w:eastAsia="en-GB"/>
    </w:rPr>
  </w:style>
  <w:style w:type="paragraph" w:customStyle="1" w:styleId="ECBBodyText">
    <w:name w:val="ECB Body Text"/>
    <w:basedOn w:val="Normal"/>
    <w:link w:val="ECBBodyTextChar"/>
    <w:qFormat/>
    <w:rsid w:val="001C63F7"/>
    <w:pPr>
      <w:spacing w:before="60" w:after="60" w:line="340" w:lineRule="exact"/>
    </w:pPr>
    <w:rPr>
      <w:rFonts w:ascii="Arial" w:eastAsia="Times New Roman" w:hAnsi="Arial" w:cs="Sendnya"/>
      <w:sz w:val="20"/>
      <w:lang w:eastAsia="en-GB"/>
    </w:rPr>
  </w:style>
  <w:style w:type="character" w:customStyle="1" w:styleId="ECBBodyTextChar">
    <w:name w:val="ECB Body Text Char"/>
    <w:link w:val="ECBBodyText"/>
    <w:rsid w:val="001C63F7"/>
    <w:rPr>
      <w:rFonts w:ascii="Arial" w:eastAsia="Times New Roman" w:hAnsi="Arial" w:cs="Sendnya"/>
      <w:sz w:val="20"/>
      <w:lang w:eastAsia="en-GB"/>
    </w:rPr>
  </w:style>
  <w:style w:type="paragraph" w:customStyle="1" w:styleId="Default">
    <w:name w:val="Default"/>
    <w:rsid w:val="005D4E70"/>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A810C2"/>
    <w:rPr>
      <w:sz w:val="16"/>
      <w:szCs w:val="16"/>
    </w:rPr>
  </w:style>
  <w:style w:type="paragraph" w:styleId="CommentText">
    <w:name w:val="annotation text"/>
    <w:basedOn w:val="Normal"/>
    <w:link w:val="CommentTextChar"/>
    <w:uiPriority w:val="99"/>
    <w:unhideWhenUsed/>
    <w:rsid w:val="00A810C2"/>
    <w:pPr>
      <w:spacing w:line="240" w:lineRule="auto"/>
    </w:pPr>
    <w:rPr>
      <w:sz w:val="20"/>
      <w:szCs w:val="20"/>
    </w:rPr>
  </w:style>
  <w:style w:type="character" w:customStyle="1" w:styleId="CommentTextChar">
    <w:name w:val="Comment Text Char"/>
    <w:basedOn w:val="DefaultParagraphFont"/>
    <w:link w:val="CommentText"/>
    <w:uiPriority w:val="99"/>
    <w:rsid w:val="00A810C2"/>
    <w:rPr>
      <w:sz w:val="20"/>
      <w:szCs w:val="20"/>
      <w:lang w:val="fr-FR"/>
    </w:rPr>
  </w:style>
  <w:style w:type="paragraph" w:styleId="CommentSubject">
    <w:name w:val="annotation subject"/>
    <w:basedOn w:val="CommentText"/>
    <w:next w:val="CommentText"/>
    <w:link w:val="CommentSubjectChar"/>
    <w:uiPriority w:val="99"/>
    <w:semiHidden/>
    <w:unhideWhenUsed/>
    <w:rsid w:val="00A810C2"/>
    <w:rPr>
      <w:b/>
      <w:bCs/>
    </w:rPr>
  </w:style>
  <w:style w:type="character" w:customStyle="1" w:styleId="CommentSubjectChar">
    <w:name w:val="Comment Subject Char"/>
    <w:basedOn w:val="CommentTextChar"/>
    <w:link w:val="CommentSubject"/>
    <w:uiPriority w:val="99"/>
    <w:semiHidden/>
    <w:rsid w:val="00A810C2"/>
    <w:rPr>
      <w:b/>
      <w:bCs/>
      <w:sz w:val="20"/>
      <w:szCs w:val="20"/>
      <w:lang w:val="fr-FR"/>
    </w:rPr>
  </w:style>
  <w:style w:type="paragraph" w:styleId="BalloonText">
    <w:name w:val="Balloon Text"/>
    <w:basedOn w:val="Normal"/>
    <w:link w:val="BalloonTextChar"/>
    <w:uiPriority w:val="99"/>
    <w:semiHidden/>
    <w:unhideWhenUsed/>
    <w:rsid w:val="00A81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10C2"/>
    <w:rPr>
      <w:rFonts w:ascii="Tahoma" w:hAnsi="Tahoma" w:cs="Tahoma"/>
      <w:sz w:val="16"/>
      <w:szCs w:val="16"/>
      <w:lang w:val="fr-FR"/>
    </w:rPr>
  </w:style>
  <w:style w:type="table" w:styleId="TableGrid">
    <w:name w:val="Table Grid"/>
    <w:basedOn w:val="TableNormal"/>
    <w:uiPriority w:val="59"/>
    <w:rsid w:val="00032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32A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2A84"/>
  </w:style>
  <w:style w:type="paragraph" w:styleId="Header">
    <w:name w:val="header"/>
    <w:basedOn w:val="Normal"/>
    <w:link w:val="HeaderChar"/>
    <w:uiPriority w:val="99"/>
    <w:unhideWhenUsed/>
    <w:rsid w:val="008D5D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D96"/>
    <w:rPr>
      <w:lang w:val="fr-FR"/>
    </w:rPr>
  </w:style>
  <w:style w:type="paragraph" w:styleId="Revision">
    <w:name w:val="Revision"/>
    <w:hidden/>
    <w:uiPriority w:val="99"/>
    <w:semiHidden/>
    <w:rsid w:val="008D5D96"/>
    <w:pPr>
      <w:spacing w:after="0" w:line="240" w:lineRule="auto"/>
    </w:pPr>
    <w:rPr>
      <w:lang w:val="fr-FR"/>
    </w:rPr>
  </w:style>
  <w:style w:type="character" w:styleId="Hyperlink">
    <w:name w:val="Hyperlink"/>
    <w:basedOn w:val="DefaultParagraphFont"/>
    <w:uiPriority w:val="99"/>
    <w:unhideWhenUsed/>
    <w:rsid w:val="00E562D7"/>
    <w:rPr>
      <w:color w:val="0000FF" w:themeColor="hyperlink"/>
      <w:u w:val="single"/>
    </w:rPr>
  </w:style>
  <w:style w:type="paragraph" w:customStyle="1" w:styleId="CM1">
    <w:name w:val="CM1"/>
    <w:basedOn w:val="Default"/>
    <w:next w:val="Default"/>
    <w:uiPriority w:val="99"/>
    <w:rsid w:val="003C3A9C"/>
    <w:rPr>
      <w:rFonts w:ascii="Times New Roman" w:hAnsi="Times New Roman" w:cs="Times New Roman"/>
      <w:color w:val="auto"/>
    </w:rPr>
  </w:style>
  <w:style w:type="paragraph" w:customStyle="1" w:styleId="CM3">
    <w:name w:val="CM3"/>
    <w:basedOn w:val="Default"/>
    <w:next w:val="Default"/>
    <w:uiPriority w:val="99"/>
    <w:rsid w:val="003C3A9C"/>
    <w:rPr>
      <w:rFonts w:ascii="Times New Roman" w:hAnsi="Times New Roman" w:cs="Times New Roman"/>
      <w:color w:val="auto"/>
    </w:rPr>
  </w:style>
  <w:style w:type="paragraph" w:styleId="NoSpacing">
    <w:name w:val="No Spacing"/>
    <w:uiPriority w:val="1"/>
    <w:qFormat/>
    <w:rsid w:val="00FC29D1"/>
    <w:rPr>
      <w:rFonts w:ascii="Arial" w:hAnsi="Arial"/>
      <w:sz w:val="20"/>
    </w:rPr>
  </w:style>
  <w:style w:type="paragraph" w:customStyle="1" w:styleId="Baseparagraphnumbered">
    <w:name w:val="Base paragraph numbered"/>
    <w:basedOn w:val="Normal"/>
    <w:link w:val="BaseparagraphnumberedChar"/>
    <w:qFormat/>
    <w:rsid w:val="00190C3C"/>
    <w:pPr>
      <w:numPr>
        <w:numId w:val="4"/>
      </w:numPr>
      <w:spacing w:after="240" w:line="240" w:lineRule="auto"/>
      <w:jc w:val="both"/>
    </w:pPr>
    <w:rPr>
      <w:rFonts w:ascii="Times New Roman" w:eastAsia="Times New Roman" w:hAnsi="Times New Roman" w:cs="Times New Roman"/>
      <w:sz w:val="24"/>
      <w:szCs w:val="24"/>
      <w:lang w:eastAsia="en-GB"/>
    </w:rPr>
  </w:style>
  <w:style w:type="character" w:customStyle="1" w:styleId="BaseparagraphnumberedChar">
    <w:name w:val="Base paragraph numbered Char"/>
    <w:link w:val="Baseparagraphnumbered"/>
    <w:rsid w:val="00190C3C"/>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334449"/>
    <w:pPr>
      <w:widowControl w:val="0"/>
      <w:spacing w:after="0" w:line="240" w:lineRule="auto"/>
    </w:pPr>
    <w:rPr>
      <w:lang w:val="en-US"/>
    </w:rPr>
  </w:style>
  <w:style w:type="paragraph" w:customStyle="1" w:styleId="norm">
    <w:name w:val="norm"/>
    <w:basedOn w:val="Normal"/>
    <w:rsid w:val="000A768B"/>
    <w:pPr>
      <w:tabs>
        <w:tab w:val="left" w:pos="851"/>
        <w:tab w:val="right" w:pos="9356"/>
      </w:tabs>
      <w:spacing w:before="60" w:after="60" w:line="360" w:lineRule="atLeast"/>
      <w:jc w:val="both"/>
    </w:pPr>
    <w:rPr>
      <w:rFonts w:ascii="Times New Roman" w:eastAsia="Times New Roman" w:hAnsi="Times New Roman" w:cs="Sendnya"/>
      <w:lang w:eastAsia="en-GB"/>
    </w:rPr>
  </w:style>
  <w:style w:type="paragraph" w:customStyle="1" w:styleId="InstructionsText2">
    <w:name w:val="Instructions Text 2"/>
    <w:basedOn w:val="Normal"/>
    <w:qFormat/>
    <w:rsid w:val="00E05207"/>
    <w:pPr>
      <w:numPr>
        <w:numId w:val="10"/>
      </w:numPr>
      <w:spacing w:after="240" w:line="240" w:lineRule="auto"/>
      <w:jc w:val="both"/>
    </w:pPr>
    <w:rPr>
      <w:rFonts w:ascii="Times New Roman" w:eastAsia="Times New Roman" w:hAnsi="Times New Roman" w:cs="Times New Roman"/>
      <w:sz w:val="24"/>
      <w:szCs w:val="24"/>
      <w:lang w:eastAsia="de-DE"/>
    </w:rPr>
  </w:style>
  <w:style w:type="paragraph" w:customStyle="1" w:styleId="Instructionsberschrift2">
    <w:name w:val="Instructions Überschrift 2"/>
    <w:basedOn w:val="Heading2"/>
    <w:rsid w:val="00A3747E"/>
    <w:pPr>
      <w:keepLines w:val="0"/>
      <w:numPr>
        <w:numId w:val="14"/>
      </w:numPr>
      <w:spacing w:before="240" w:after="240" w:line="240" w:lineRule="auto"/>
      <w:ind w:left="360"/>
      <w:jc w:val="both"/>
    </w:pPr>
    <w:rPr>
      <w:rFonts w:ascii="Verdana" w:eastAsia="Arial" w:hAnsi="Verdana" w:cs="Arial"/>
      <w:b w:val="0"/>
      <w:bCs w:val="0"/>
      <w:color w:val="auto"/>
      <w:sz w:val="20"/>
      <w:szCs w:val="24"/>
      <w:u w:val="single"/>
      <w:lang w:val="en-US" w:eastAsia="x-none"/>
    </w:rPr>
  </w:style>
  <w:style w:type="character" w:customStyle="1" w:styleId="Heading2Char">
    <w:name w:val="Heading 2 Char"/>
    <w:basedOn w:val="DefaultParagraphFont"/>
    <w:link w:val="Heading2"/>
    <w:uiPriority w:val="9"/>
    <w:rsid w:val="00A3747E"/>
    <w:rPr>
      <w:rFonts w:asciiTheme="majorHAnsi" w:eastAsiaTheme="majorEastAsia" w:hAnsiTheme="majorHAnsi" w:cstheme="majorBidi"/>
      <w:b/>
      <w:bCs/>
      <w:color w:val="4F81BD" w:themeColor="accent1"/>
      <w:sz w:val="26"/>
      <w:szCs w:val="26"/>
      <w:lang w:val="fr-FR"/>
    </w:rPr>
  </w:style>
  <w:style w:type="character" w:customStyle="1" w:styleId="Heading1Char">
    <w:name w:val="Heading 1 Char"/>
    <w:basedOn w:val="DefaultParagraphFont"/>
    <w:link w:val="Heading1"/>
    <w:rsid w:val="005F106D"/>
    <w:rPr>
      <w:rFonts w:ascii="Times New Roman" w:eastAsia="Times New Roman" w:hAnsi="Times New Roman" w:cs="Sendnya"/>
      <w:b/>
      <w:bCs/>
      <w:kern w:val="28"/>
      <w:sz w:val="32"/>
      <w:szCs w:val="28"/>
      <w:lang w:eastAsia="en-GB"/>
    </w:rPr>
  </w:style>
  <w:style w:type="character" w:customStyle="1" w:styleId="Heading3Char">
    <w:name w:val="Heading 3 Char"/>
    <w:basedOn w:val="DefaultParagraphFont"/>
    <w:link w:val="Heading3"/>
    <w:rsid w:val="005F106D"/>
    <w:rPr>
      <w:rFonts w:ascii="Times New Roman" w:eastAsia="Times New Roman" w:hAnsi="Times New Roman" w:cs="Sendnya"/>
      <w:b/>
      <w:bCs/>
      <w:sz w:val="24"/>
      <w:szCs w:val="24"/>
      <w:lang w:eastAsia="en-GB"/>
    </w:rPr>
  </w:style>
  <w:style w:type="character" w:customStyle="1" w:styleId="Heading4Char">
    <w:name w:val="Heading 4 Char"/>
    <w:basedOn w:val="DefaultParagraphFont"/>
    <w:link w:val="Heading4"/>
    <w:uiPriority w:val="9"/>
    <w:semiHidden/>
    <w:rsid w:val="005F106D"/>
    <w:rPr>
      <w:rFonts w:asciiTheme="majorHAnsi" w:eastAsiaTheme="majorEastAsia" w:hAnsiTheme="majorHAnsi" w:cstheme="majorBidi"/>
      <w:b/>
      <w:bCs/>
      <w:i/>
      <w:iCs/>
      <w:color w:val="4F81BD" w:themeColor="accent1"/>
      <w:lang w:val="fr-FR"/>
    </w:rPr>
  </w:style>
  <w:style w:type="character" w:styleId="PlaceholderText">
    <w:name w:val="Placeholder Text"/>
    <w:basedOn w:val="DefaultParagraphFont"/>
    <w:uiPriority w:val="99"/>
    <w:semiHidden/>
    <w:rsid w:val="005F106D"/>
    <w:rPr>
      <w:color w:val="808080"/>
    </w:rPr>
  </w:style>
  <w:style w:type="character" w:styleId="FollowedHyperlink">
    <w:name w:val="FollowedHyperlink"/>
    <w:basedOn w:val="DefaultParagraphFont"/>
    <w:uiPriority w:val="99"/>
    <w:semiHidden/>
    <w:unhideWhenUsed/>
    <w:rsid w:val="006873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59010">
      <w:bodyDiv w:val="1"/>
      <w:marLeft w:val="0"/>
      <w:marRight w:val="0"/>
      <w:marTop w:val="0"/>
      <w:marBottom w:val="0"/>
      <w:divBdr>
        <w:top w:val="none" w:sz="0" w:space="0" w:color="auto"/>
        <w:left w:val="none" w:sz="0" w:space="0" w:color="auto"/>
        <w:bottom w:val="none" w:sz="0" w:space="0" w:color="auto"/>
        <w:right w:val="none" w:sz="0" w:space="0" w:color="auto"/>
      </w:divBdr>
    </w:div>
    <w:div w:id="212009370">
      <w:bodyDiv w:val="1"/>
      <w:marLeft w:val="0"/>
      <w:marRight w:val="0"/>
      <w:marTop w:val="0"/>
      <w:marBottom w:val="0"/>
      <w:divBdr>
        <w:top w:val="none" w:sz="0" w:space="0" w:color="auto"/>
        <w:left w:val="none" w:sz="0" w:space="0" w:color="auto"/>
        <w:bottom w:val="none" w:sz="0" w:space="0" w:color="auto"/>
        <w:right w:val="none" w:sz="0" w:space="0" w:color="auto"/>
      </w:divBdr>
    </w:div>
    <w:div w:id="242304078">
      <w:bodyDiv w:val="1"/>
      <w:marLeft w:val="0"/>
      <w:marRight w:val="0"/>
      <w:marTop w:val="0"/>
      <w:marBottom w:val="0"/>
      <w:divBdr>
        <w:top w:val="none" w:sz="0" w:space="0" w:color="auto"/>
        <w:left w:val="none" w:sz="0" w:space="0" w:color="auto"/>
        <w:bottom w:val="none" w:sz="0" w:space="0" w:color="auto"/>
        <w:right w:val="none" w:sz="0" w:space="0" w:color="auto"/>
      </w:divBdr>
    </w:div>
    <w:div w:id="396511424">
      <w:bodyDiv w:val="1"/>
      <w:marLeft w:val="0"/>
      <w:marRight w:val="0"/>
      <w:marTop w:val="0"/>
      <w:marBottom w:val="0"/>
      <w:divBdr>
        <w:top w:val="none" w:sz="0" w:space="0" w:color="auto"/>
        <w:left w:val="none" w:sz="0" w:space="0" w:color="auto"/>
        <w:bottom w:val="none" w:sz="0" w:space="0" w:color="auto"/>
        <w:right w:val="none" w:sz="0" w:space="0" w:color="auto"/>
      </w:divBdr>
    </w:div>
    <w:div w:id="694160744">
      <w:bodyDiv w:val="1"/>
      <w:marLeft w:val="0"/>
      <w:marRight w:val="0"/>
      <w:marTop w:val="0"/>
      <w:marBottom w:val="0"/>
      <w:divBdr>
        <w:top w:val="none" w:sz="0" w:space="0" w:color="auto"/>
        <w:left w:val="none" w:sz="0" w:space="0" w:color="auto"/>
        <w:bottom w:val="none" w:sz="0" w:space="0" w:color="auto"/>
        <w:right w:val="none" w:sz="0" w:space="0" w:color="auto"/>
      </w:divBdr>
    </w:div>
    <w:div w:id="755519474">
      <w:bodyDiv w:val="1"/>
      <w:marLeft w:val="0"/>
      <w:marRight w:val="0"/>
      <w:marTop w:val="0"/>
      <w:marBottom w:val="0"/>
      <w:divBdr>
        <w:top w:val="none" w:sz="0" w:space="0" w:color="auto"/>
        <w:left w:val="none" w:sz="0" w:space="0" w:color="auto"/>
        <w:bottom w:val="none" w:sz="0" w:space="0" w:color="auto"/>
        <w:right w:val="none" w:sz="0" w:space="0" w:color="auto"/>
      </w:divBdr>
      <w:divsChild>
        <w:div w:id="1889565906">
          <w:marLeft w:val="706"/>
          <w:marRight w:val="0"/>
          <w:marTop w:val="0"/>
          <w:marBottom w:val="60"/>
          <w:divBdr>
            <w:top w:val="none" w:sz="0" w:space="0" w:color="auto"/>
            <w:left w:val="none" w:sz="0" w:space="0" w:color="auto"/>
            <w:bottom w:val="none" w:sz="0" w:space="0" w:color="auto"/>
            <w:right w:val="none" w:sz="0" w:space="0" w:color="auto"/>
          </w:divBdr>
        </w:div>
      </w:divsChild>
    </w:div>
    <w:div w:id="779108950">
      <w:bodyDiv w:val="1"/>
      <w:marLeft w:val="0"/>
      <w:marRight w:val="0"/>
      <w:marTop w:val="0"/>
      <w:marBottom w:val="0"/>
      <w:divBdr>
        <w:top w:val="none" w:sz="0" w:space="0" w:color="auto"/>
        <w:left w:val="none" w:sz="0" w:space="0" w:color="auto"/>
        <w:bottom w:val="none" w:sz="0" w:space="0" w:color="auto"/>
        <w:right w:val="none" w:sz="0" w:space="0" w:color="auto"/>
      </w:divBdr>
    </w:div>
    <w:div w:id="864517755">
      <w:bodyDiv w:val="1"/>
      <w:marLeft w:val="0"/>
      <w:marRight w:val="0"/>
      <w:marTop w:val="0"/>
      <w:marBottom w:val="0"/>
      <w:divBdr>
        <w:top w:val="none" w:sz="0" w:space="0" w:color="auto"/>
        <w:left w:val="none" w:sz="0" w:space="0" w:color="auto"/>
        <w:bottom w:val="none" w:sz="0" w:space="0" w:color="auto"/>
        <w:right w:val="none" w:sz="0" w:space="0" w:color="auto"/>
      </w:divBdr>
    </w:div>
    <w:div w:id="865680930">
      <w:bodyDiv w:val="1"/>
      <w:marLeft w:val="0"/>
      <w:marRight w:val="0"/>
      <w:marTop w:val="0"/>
      <w:marBottom w:val="0"/>
      <w:divBdr>
        <w:top w:val="none" w:sz="0" w:space="0" w:color="auto"/>
        <w:left w:val="none" w:sz="0" w:space="0" w:color="auto"/>
        <w:bottom w:val="none" w:sz="0" w:space="0" w:color="auto"/>
        <w:right w:val="none" w:sz="0" w:space="0" w:color="auto"/>
      </w:divBdr>
    </w:div>
    <w:div w:id="884408834">
      <w:bodyDiv w:val="1"/>
      <w:marLeft w:val="0"/>
      <w:marRight w:val="0"/>
      <w:marTop w:val="0"/>
      <w:marBottom w:val="0"/>
      <w:divBdr>
        <w:top w:val="none" w:sz="0" w:space="0" w:color="auto"/>
        <w:left w:val="none" w:sz="0" w:space="0" w:color="auto"/>
        <w:bottom w:val="none" w:sz="0" w:space="0" w:color="auto"/>
        <w:right w:val="none" w:sz="0" w:space="0" w:color="auto"/>
      </w:divBdr>
    </w:div>
    <w:div w:id="931930857">
      <w:bodyDiv w:val="1"/>
      <w:marLeft w:val="0"/>
      <w:marRight w:val="0"/>
      <w:marTop w:val="0"/>
      <w:marBottom w:val="0"/>
      <w:divBdr>
        <w:top w:val="none" w:sz="0" w:space="0" w:color="auto"/>
        <w:left w:val="none" w:sz="0" w:space="0" w:color="auto"/>
        <w:bottom w:val="none" w:sz="0" w:space="0" w:color="auto"/>
        <w:right w:val="none" w:sz="0" w:space="0" w:color="auto"/>
      </w:divBdr>
    </w:div>
    <w:div w:id="1035890149">
      <w:bodyDiv w:val="1"/>
      <w:marLeft w:val="0"/>
      <w:marRight w:val="0"/>
      <w:marTop w:val="0"/>
      <w:marBottom w:val="0"/>
      <w:divBdr>
        <w:top w:val="none" w:sz="0" w:space="0" w:color="auto"/>
        <w:left w:val="none" w:sz="0" w:space="0" w:color="auto"/>
        <w:bottom w:val="none" w:sz="0" w:space="0" w:color="auto"/>
        <w:right w:val="none" w:sz="0" w:space="0" w:color="auto"/>
      </w:divBdr>
    </w:div>
    <w:div w:id="1073354942">
      <w:bodyDiv w:val="1"/>
      <w:marLeft w:val="0"/>
      <w:marRight w:val="0"/>
      <w:marTop w:val="0"/>
      <w:marBottom w:val="0"/>
      <w:divBdr>
        <w:top w:val="none" w:sz="0" w:space="0" w:color="auto"/>
        <w:left w:val="none" w:sz="0" w:space="0" w:color="auto"/>
        <w:bottom w:val="none" w:sz="0" w:space="0" w:color="auto"/>
        <w:right w:val="none" w:sz="0" w:space="0" w:color="auto"/>
      </w:divBdr>
    </w:div>
    <w:div w:id="1171481064">
      <w:bodyDiv w:val="1"/>
      <w:marLeft w:val="0"/>
      <w:marRight w:val="0"/>
      <w:marTop w:val="0"/>
      <w:marBottom w:val="0"/>
      <w:divBdr>
        <w:top w:val="none" w:sz="0" w:space="0" w:color="auto"/>
        <w:left w:val="none" w:sz="0" w:space="0" w:color="auto"/>
        <w:bottom w:val="none" w:sz="0" w:space="0" w:color="auto"/>
        <w:right w:val="none" w:sz="0" w:space="0" w:color="auto"/>
      </w:divBdr>
    </w:div>
    <w:div w:id="1177766041">
      <w:bodyDiv w:val="1"/>
      <w:marLeft w:val="0"/>
      <w:marRight w:val="0"/>
      <w:marTop w:val="0"/>
      <w:marBottom w:val="0"/>
      <w:divBdr>
        <w:top w:val="none" w:sz="0" w:space="0" w:color="auto"/>
        <w:left w:val="none" w:sz="0" w:space="0" w:color="auto"/>
        <w:bottom w:val="none" w:sz="0" w:space="0" w:color="auto"/>
        <w:right w:val="none" w:sz="0" w:space="0" w:color="auto"/>
      </w:divBdr>
    </w:div>
    <w:div w:id="1187870046">
      <w:bodyDiv w:val="1"/>
      <w:marLeft w:val="0"/>
      <w:marRight w:val="0"/>
      <w:marTop w:val="0"/>
      <w:marBottom w:val="0"/>
      <w:divBdr>
        <w:top w:val="none" w:sz="0" w:space="0" w:color="auto"/>
        <w:left w:val="none" w:sz="0" w:space="0" w:color="auto"/>
        <w:bottom w:val="none" w:sz="0" w:space="0" w:color="auto"/>
        <w:right w:val="none" w:sz="0" w:space="0" w:color="auto"/>
      </w:divBdr>
    </w:div>
    <w:div w:id="1219129205">
      <w:bodyDiv w:val="1"/>
      <w:marLeft w:val="0"/>
      <w:marRight w:val="0"/>
      <w:marTop w:val="0"/>
      <w:marBottom w:val="0"/>
      <w:divBdr>
        <w:top w:val="none" w:sz="0" w:space="0" w:color="auto"/>
        <w:left w:val="none" w:sz="0" w:space="0" w:color="auto"/>
        <w:bottom w:val="none" w:sz="0" w:space="0" w:color="auto"/>
        <w:right w:val="none" w:sz="0" w:space="0" w:color="auto"/>
      </w:divBdr>
    </w:div>
    <w:div w:id="1356351082">
      <w:bodyDiv w:val="1"/>
      <w:marLeft w:val="0"/>
      <w:marRight w:val="0"/>
      <w:marTop w:val="0"/>
      <w:marBottom w:val="0"/>
      <w:divBdr>
        <w:top w:val="none" w:sz="0" w:space="0" w:color="auto"/>
        <w:left w:val="none" w:sz="0" w:space="0" w:color="auto"/>
        <w:bottom w:val="none" w:sz="0" w:space="0" w:color="auto"/>
        <w:right w:val="none" w:sz="0" w:space="0" w:color="auto"/>
      </w:divBdr>
    </w:div>
    <w:div w:id="1362053346">
      <w:bodyDiv w:val="1"/>
      <w:marLeft w:val="0"/>
      <w:marRight w:val="0"/>
      <w:marTop w:val="0"/>
      <w:marBottom w:val="0"/>
      <w:divBdr>
        <w:top w:val="none" w:sz="0" w:space="0" w:color="auto"/>
        <w:left w:val="none" w:sz="0" w:space="0" w:color="auto"/>
        <w:bottom w:val="none" w:sz="0" w:space="0" w:color="auto"/>
        <w:right w:val="none" w:sz="0" w:space="0" w:color="auto"/>
      </w:divBdr>
    </w:div>
    <w:div w:id="1566066517">
      <w:bodyDiv w:val="1"/>
      <w:marLeft w:val="0"/>
      <w:marRight w:val="0"/>
      <w:marTop w:val="0"/>
      <w:marBottom w:val="0"/>
      <w:divBdr>
        <w:top w:val="none" w:sz="0" w:space="0" w:color="auto"/>
        <w:left w:val="none" w:sz="0" w:space="0" w:color="auto"/>
        <w:bottom w:val="none" w:sz="0" w:space="0" w:color="auto"/>
        <w:right w:val="none" w:sz="0" w:space="0" w:color="auto"/>
      </w:divBdr>
    </w:div>
    <w:div w:id="1568764869">
      <w:bodyDiv w:val="1"/>
      <w:marLeft w:val="0"/>
      <w:marRight w:val="0"/>
      <w:marTop w:val="0"/>
      <w:marBottom w:val="0"/>
      <w:divBdr>
        <w:top w:val="none" w:sz="0" w:space="0" w:color="auto"/>
        <w:left w:val="none" w:sz="0" w:space="0" w:color="auto"/>
        <w:bottom w:val="none" w:sz="0" w:space="0" w:color="auto"/>
        <w:right w:val="none" w:sz="0" w:space="0" w:color="auto"/>
      </w:divBdr>
    </w:div>
    <w:div w:id="1615944883">
      <w:bodyDiv w:val="1"/>
      <w:marLeft w:val="0"/>
      <w:marRight w:val="0"/>
      <w:marTop w:val="0"/>
      <w:marBottom w:val="0"/>
      <w:divBdr>
        <w:top w:val="none" w:sz="0" w:space="0" w:color="auto"/>
        <w:left w:val="none" w:sz="0" w:space="0" w:color="auto"/>
        <w:bottom w:val="none" w:sz="0" w:space="0" w:color="auto"/>
        <w:right w:val="none" w:sz="0" w:space="0" w:color="auto"/>
      </w:divBdr>
    </w:div>
    <w:div w:id="1740328724">
      <w:bodyDiv w:val="1"/>
      <w:marLeft w:val="0"/>
      <w:marRight w:val="0"/>
      <w:marTop w:val="0"/>
      <w:marBottom w:val="0"/>
      <w:divBdr>
        <w:top w:val="none" w:sz="0" w:space="0" w:color="auto"/>
        <w:left w:val="none" w:sz="0" w:space="0" w:color="auto"/>
        <w:bottom w:val="none" w:sz="0" w:space="0" w:color="auto"/>
        <w:right w:val="none" w:sz="0" w:space="0" w:color="auto"/>
      </w:divBdr>
    </w:div>
    <w:div w:id="1747220268">
      <w:bodyDiv w:val="1"/>
      <w:marLeft w:val="0"/>
      <w:marRight w:val="0"/>
      <w:marTop w:val="0"/>
      <w:marBottom w:val="0"/>
      <w:divBdr>
        <w:top w:val="none" w:sz="0" w:space="0" w:color="auto"/>
        <w:left w:val="none" w:sz="0" w:space="0" w:color="auto"/>
        <w:bottom w:val="none" w:sz="0" w:space="0" w:color="auto"/>
        <w:right w:val="none" w:sz="0" w:space="0" w:color="auto"/>
      </w:divBdr>
    </w:div>
    <w:div w:id="1764110045">
      <w:bodyDiv w:val="1"/>
      <w:marLeft w:val="0"/>
      <w:marRight w:val="0"/>
      <w:marTop w:val="0"/>
      <w:marBottom w:val="0"/>
      <w:divBdr>
        <w:top w:val="none" w:sz="0" w:space="0" w:color="auto"/>
        <w:left w:val="none" w:sz="0" w:space="0" w:color="auto"/>
        <w:bottom w:val="none" w:sz="0" w:space="0" w:color="auto"/>
        <w:right w:val="none" w:sz="0" w:space="0" w:color="auto"/>
      </w:divBdr>
    </w:div>
    <w:div w:id="1958098302">
      <w:bodyDiv w:val="1"/>
      <w:marLeft w:val="0"/>
      <w:marRight w:val="0"/>
      <w:marTop w:val="0"/>
      <w:marBottom w:val="0"/>
      <w:divBdr>
        <w:top w:val="none" w:sz="0" w:space="0" w:color="auto"/>
        <w:left w:val="none" w:sz="0" w:space="0" w:color="auto"/>
        <w:bottom w:val="none" w:sz="0" w:space="0" w:color="auto"/>
        <w:right w:val="none" w:sz="0" w:space="0" w:color="auto"/>
      </w:divBdr>
    </w:div>
    <w:div w:id="2013484768">
      <w:bodyDiv w:val="1"/>
      <w:marLeft w:val="0"/>
      <w:marRight w:val="0"/>
      <w:marTop w:val="0"/>
      <w:marBottom w:val="0"/>
      <w:divBdr>
        <w:top w:val="none" w:sz="0" w:space="0" w:color="auto"/>
        <w:left w:val="none" w:sz="0" w:space="0" w:color="auto"/>
        <w:bottom w:val="none" w:sz="0" w:space="0" w:color="auto"/>
        <w:right w:val="none" w:sz="0" w:space="0" w:color="auto"/>
      </w:divBdr>
    </w:div>
    <w:div w:id="2128544721">
      <w:bodyDiv w:val="1"/>
      <w:marLeft w:val="0"/>
      <w:marRight w:val="0"/>
      <w:marTop w:val="0"/>
      <w:marBottom w:val="0"/>
      <w:divBdr>
        <w:top w:val="none" w:sz="0" w:space="0" w:color="auto"/>
        <w:left w:val="none" w:sz="0" w:space="0" w:color="auto"/>
        <w:bottom w:val="none" w:sz="0" w:space="0" w:color="auto"/>
        <w:right w:val="none" w:sz="0" w:space="0" w:color="auto"/>
      </w:divBdr>
    </w:div>
    <w:div w:id="21287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ba.europa.eu/sites/default/documents/files/document_library/Publications/Guidelines/2020/884433/EBA%20GL%202020%2007%20Annex%202%20-%20Covid-19%20reporting%20instruc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B9054B3F0D12B40A958B421145555A3" ma:contentTypeVersion="0" ma:contentTypeDescription="Creare un nuovo documento." ma:contentTypeScope="" ma:versionID="8347952ff4bd43fe92a8ebf2764bf92e">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A3451-DE7B-48AF-8381-E3AE77AA7958}">
  <ds:schemaRefs>
    <ds:schemaRef ds:uri="http://schemas.microsoft.com/sharepoint/v3/contenttype/forms"/>
  </ds:schemaRefs>
</ds:datastoreItem>
</file>

<file path=customXml/itemProps2.xml><?xml version="1.0" encoding="utf-8"?>
<ds:datastoreItem xmlns:ds="http://schemas.openxmlformats.org/officeDocument/2006/customXml" ds:itemID="{F5BC3681-ECAD-4413-AF07-0EC6BA7141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426D7D-0231-4043-A665-4C8CFD91F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22265A3-C87E-4A60-AB8A-06CFD5C3A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1663</TotalTime>
  <Pages>1</Pages>
  <Words>10357</Words>
  <Characters>59035</Characters>
  <Application>Microsoft Office Word</Application>
  <DocSecurity>0</DocSecurity>
  <Lines>491</Lines>
  <Paragraphs>138</Paragraphs>
  <ScaleCrop>false</ScaleCrop>
  <HeadingPairs>
    <vt:vector size="10" baseType="variant">
      <vt:variant>
        <vt:lpstr>Title</vt:lpstr>
      </vt:variant>
      <vt:variant>
        <vt:i4>1</vt:i4>
      </vt:variant>
      <vt:variant>
        <vt:lpstr>Título</vt:lpstr>
      </vt:variant>
      <vt:variant>
        <vt:i4>1</vt:i4>
      </vt:variant>
      <vt:variant>
        <vt:lpstr>Titolo</vt:lpstr>
      </vt:variant>
      <vt:variant>
        <vt:i4>1</vt:i4>
      </vt:variant>
      <vt:variant>
        <vt:lpstr>Titel</vt:lpstr>
      </vt:variant>
      <vt:variant>
        <vt:i4>1</vt:i4>
      </vt:variant>
      <vt:variant>
        <vt:lpstr>Titre</vt:lpstr>
      </vt:variant>
      <vt:variant>
        <vt:i4>1</vt:i4>
      </vt:variant>
    </vt:vector>
  </HeadingPairs>
  <TitlesOfParts>
    <vt:vector size="5" baseType="lpstr">
      <vt:lpstr/>
      <vt:lpstr/>
      <vt:lpstr/>
      <vt:lpstr/>
      <vt:lpstr/>
    </vt:vector>
  </TitlesOfParts>
  <Company>European Central Bank</Company>
  <LinksUpToDate>false</LinksUpToDate>
  <CharactersWithSpaces>69254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Janeliunaite, Urte</dc:creator>
  <cp:lastModifiedBy>Kokkonidis, Alexandros</cp:lastModifiedBy>
  <cp:revision>98</cp:revision>
  <cp:lastPrinted>2019-04-24T08:55:00Z</cp:lastPrinted>
  <dcterms:created xsi:type="dcterms:W3CDTF">2020-05-12T11:19:00Z</dcterms:created>
  <dcterms:modified xsi:type="dcterms:W3CDTF">2020-07-15T06:12:00Z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0x010100CB9054B3F0D12B40A958B421145555A3</vt:lpwstr>
  </property>
</Properties>
</file>